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74AB" w14:textId="77777777" w:rsidR="00BD0628" w:rsidRPr="00FF3E4A" w:rsidRDefault="00D203BD" w:rsidP="00F960BE">
      <w:pPr>
        <w:spacing w:after="260" w:line="25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>Załącznik do ustawy z dnia 20 maja 2021 r.</w:t>
      </w: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o ochronie praw nabywcy lokalu mieszkalnego lub domu jednorodzinnego oraz Deweloperskim Funduszu Gwarancyjnym (poz. 1177) </w:t>
      </w:r>
    </w:p>
    <w:p w14:paraId="263EF1D0" w14:textId="77777777" w:rsidR="00D63FFC" w:rsidRPr="00FF3E4A" w:rsidRDefault="00D203BD" w:rsidP="00D63FFC">
      <w:pPr>
        <w:spacing w:after="0" w:line="265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Stan na dzień sporządzenia prospektu informacyjnego </w:t>
      </w:r>
    </w:p>
    <w:p w14:paraId="5643A6E5" w14:textId="77777777" w:rsidR="00D63FFC" w:rsidRPr="00FF3E4A" w:rsidRDefault="00D63FFC" w:rsidP="00D63FFC">
      <w:pPr>
        <w:spacing w:after="0" w:line="265" w:lineRule="auto"/>
        <w:ind w:left="-5" w:hanging="10"/>
        <w:jc w:val="right"/>
        <w:rPr>
          <w:rFonts w:asciiTheme="minorHAnsi" w:eastAsia="Times New Roman" w:hAnsiTheme="minorHAnsi" w:cstheme="minorHAnsi"/>
          <w:sz w:val="20"/>
          <w:szCs w:val="20"/>
        </w:rPr>
      </w:pPr>
    </w:p>
    <w:p w14:paraId="54B98C53" w14:textId="7FE16878" w:rsidR="00CB6538" w:rsidRPr="00FF3E4A" w:rsidRDefault="00D203BD" w:rsidP="00D63FFC">
      <w:pPr>
        <w:spacing w:after="0" w:line="265" w:lineRule="auto"/>
        <w:ind w:left="-5" w:hanging="10"/>
        <w:jc w:val="right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Data  sporządzenia </w:t>
      </w:r>
      <w:r w:rsidR="00CB6538" w:rsidRPr="00FF3E4A">
        <w:rPr>
          <w:rFonts w:asciiTheme="minorHAnsi" w:eastAsia="Times New Roman" w:hAnsiTheme="minorHAnsi" w:cstheme="minorHAnsi"/>
          <w:sz w:val="20"/>
          <w:szCs w:val="20"/>
        </w:rPr>
        <w:t>P</w:t>
      </w:r>
      <w:r w:rsidRPr="00FF3E4A">
        <w:rPr>
          <w:rFonts w:asciiTheme="minorHAnsi" w:eastAsia="Times New Roman" w:hAnsiTheme="minorHAnsi" w:cstheme="minorHAnsi"/>
          <w:sz w:val="20"/>
          <w:szCs w:val="20"/>
        </w:rPr>
        <w:t>rospektu</w:t>
      </w:r>
      <w:r w:rsidR="00CB6538" w:rsidRPr="00FF3E4A">
        <w:rPr>
          <w:rFonts w:asciiTheme="minorHAnsi" w:eastAsia="Times New Roman" w:hAnsiTheme="minorHAnsi" w:cstheme="minorHAnsi"/>
          <w:sz w:val="20"/>
          <w:szCs w:val="20"/>
        </w:rPr>
        <w:t>:</w:t>
      </w:r>
      <w:r w:rsidR="00AF1BF6" w:rsidRPr="00FF3E4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6F3A42">
        <w:rPr>
          <w:rFonts w:asciiTheme="minorHAnsi" w:eastAsia="Times New Roman" w:hAnsiTheme="minorHAnsi" w:cstheme="minorHAnsi"/>
          <w:sz w:val="20"/>
          <w:szCs w:val="20"/>
        </w:rPr>
        <w:t>0</w:t>
      </w:r>
      <w:r w:rsidR="003D1C79">
        <w:rPr>
          <w:rFonts w:asciiTheme="minorHAnsi" w:eastAsia="Times New Roman" w:hAnsiTheme="minorHAnsi" w:cstheme="minorHAnsi"/>
          <w:sz w:val="20"/>
          <w:szCs w:val="20"/>
        </w:rPr>
        <w:t>4</w:t>
      </w:r>
      <w:r w:rsidR="00CB6538" w:rsidRPr="00FF3E4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6F3A42">
        <w:rPr>
          <w:rFonts w:asciiTheme="minorHAnsi" w:eastAsia="Times New Roman" w:hAnsiTheme="minorHAnsi" w:cstheme="minorHAnsi"/>
          <w:sz w:val="20"/>
          <w:szCs w:val="20"/>
        </w:rPr>
        <w:t>lutego</w:t>
      </w:r>
      <w:r w:rsidR="00CB6538" w:rsidRPr="00FF3E4A">
        <w:rPr>
          <w:rFonts w:asciiTheme="minorHAnsi" w:eastAsia="Times New Roman" w:hAnsiTheme="minorHAnsi" w:cstheme="minorHAnsi"/>
          <w:sz w:val="20"/>
          <w:szCs w:val="20"/>
        </w:rPr>
        <w:t xml:space="preserve"> 202</w:t>
      </w:r>
      <w:r w:rsidR="0073554F">
        <w:rPr>
          <w:rFonts w:asciiTheme="minorHAnsi" w:eastAsia="Times New Roman" w:hAnsiTheme="minorHAnsi" w:cstheme="minorHAnsi"/>
          <w:sz w:val="20"/>
          <w:szCs w:val="20"/>
        </w:rPr>
        <w:t>5</w:t>
      </w:r>
      <w:r w:rsidR="00CB6538" w:rsidRPr="00FF3E4A">
        <w:rPr>
          <w:rFonts w:asciiTheme="minorHAnsi" w:eastAsia="Times New Roman" w:hAnsiTheme="minorHAnsi" w:cstheme="minorHAnsi"/>
          <w:sz w:val="20"/>
          <w:szCs w:val="20"/>
        </w:rPr>
        <w:t xml:space="preserve"> r. </w:t>
      </w:r>
    </w:p>
    <w:p w14:paraId="27A4D1E0" w14:textId="77777777" w:rsidR="00BD0628" w:rsidRPr="00FF3E4A" w:rsidRDefault="00D203BD">
      <w:pPr>
        <w:spacing w:after="142"/>
        <w:ind w:left="45"/>
        <w:jc w:val="center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3D530E2D" w14:textId="58C9E2D4" w:rsidR="006B738F" w:rsidRPr="00FF3E4A" w:rsidRDefault="00D203BD" w:rsidP="00422209">
      <w:pPr>
        <w:pStyle w:val="Nagwek1"/>
        <w:spacing w:after="125"/>
        <w:rPr>
          <w:rFonts w:asciiTheme="minorHAnsi" w:hAnsiTheme="minorHAnsi" w:cstheme="minorHAnsi"/>
          <w:szCs w:val="20"/>
        </w:rPr>
      </w:pPr>
      <w:r w:rsidRPr="00FF3E4A">
        <w:rPr>
          <w:rFonts w:asciiTheme="minorHAnsi" w:hAnsiTheme="minorHAnsi" w:cstheme="minorHAnsi"/>
          <w:szCs w:val="20"/>
        </w:rPr>
        <w:t xml:space="preserve">PROSPEKT INFORMACYJNY </w:t>
      </w:r>
    </w:p>
    <w:p w14:paraId="285CBC20" w14:textId="5FA97E16" w:rsidR="00DA2D0D" w:rsidRDefault="00DA2D0D" w:rsidP="00CB653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F3E4A">
        <w:rPr>
          <w:rFonts w:asciiTheme="minorHAnsi" w:hAnsiTheme="minorHAnsi" w:cstheme="minorHAnsi"/>
          <w:b/>
          <w:bCs/>
          <w:sz w:val="20"/>
          <w:szCs w:val="20"/>
        </w:rPr>
        <w:t xml:space="preserve">DLA ZADANIA INWESTYCYJNEGO NR </w:t>
      </w:r>
      <w:r w:rsidR="0073554F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77D26B90" w14:textId="58DAF716" w:rsidR="0073554F" w:rsidRPr="00FF3E4A" w:rsidRDefault="0073554F" w:rsidP="00CB653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Działki 3272/1 i 3272/2</w:t>
      </w:r>
    </w:p>
    <w:p w14:paraId="6E11C44D" w14:textId="7DB6F17A" w:rsidR="0042765F" w:rsidRPr="00FF3E4A" w:rsidRDefault="0042765F" w:rsidP="00CB6538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3C00B" w14:textId="77777777" w:rsidR="00BD0628" w:rsidRPr="00FF3E4A" w:rsidRDefault="00D203BD">
      <w:pPr>
        <w:spacing w:after="165" w:line="265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CZĘŚĆ OGÓLNA </w:t>
      </w:r>
    </w:p>
    <w:p w14:paraId="000B12E2" w14:textId="77777777" w:rsidR="00BD0628" w:rsidRPr="00FF3E4A" w:rsidRDefault="00D203BD">
      <w:pPr>
        <w:numPr>
          <w:ilvl w:val="0"/>
          <w:numId w:val="1"/>
        </w:numPr>
        <w:spacing w:after="0" w:line="265" w:lineRule="auto"/>
        <w:ind w:hanging="720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DANE IDENTYFIKACYJNE I KONTAKTOWE DOTYCZĄCE DEWELOPERA </w:t>
      </w:r>
    </w:p>
    <w:tbl>
      <w:tblPr>
        <w:tblStyle w:val="TableGrid"/>
        <w:tblW w:w="9648" w:type="dxa"/>
        <w:tblInd w:w="109" w:type="dxa"/>
        <w:tblCellMar>
          <w:top w:w="191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2987"/>
        <w:gridCol w:w="3242"/>
        <w:gridCol w:w="3419"/>
      </w:tblGrid>
      <w:tr w:rsidR="00BD0628" w:rsidRPr="00FF3E4A" w14:paraId="1F04E97A" w14:textId="77777777" w:rsidTr="00BB292F">
        <w:trPr>
          <w:trHeight w:val="43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43E01402" w14:textId="77777777" w:rsidR="00BD0628" w:rsidRPr="00FF3E4A" w:rsidRDefault="00D203BD">
            <w:pPr>
              <w:spacing w:after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DANE DEWELOPERA </w:t>
            </w:r>
          </w:p>
          <w:p w14:paraId="066C7B81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CABEC3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6D597448" w14:textId="77777777" w:rsidTr="00B733AA">
        <w:trPr>
          <w:trHeight w:val="334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A7DAE5C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Deweloper 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39AA" w14:textId="01832DBB" w:rsidR="006B738F" w:rsidRPr="00FF3E4A" w:rsidRDefault="006B738F" w:rsidP="00B733AA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ADJ Investment Sp. z o. o. z siedzibą w Sopocie</w:t>
            </w:r>
          </w:p>
          <w:p w14:paraId="1D393FA0" w14:textId="40A01343" w:rsidR="006B738F" w:rsidRPr="00FF3E4A" w:rsidRDefault="006B738F" w:rsidP="00B733AA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KRS: 0000619904</w:t>
            </w:r>
          </w:p>
          <w:p w14:paraId="4E2B4741" w14:textId="384AA9A1" w:rsidR="00BD0628" w:rsidRPr="00FF3E4A" w:rsidRDefault="006B738F" w:rsidP="00B733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kapitał zakładowy 45.900,00 zł</w:t>
            </w:r>
          </w:p>
        </w:tc>
      </w:tr>
      <w:tr w:rsidR="00BD0628" w:rsidRPr="00FF3E4A" w14:paraId="6EF2955F" w14:textId="77777777" w:rsidTr="008579F7">
        <w:trPr>
          <w:trHeight w:val="17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BCEEF09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Adres  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74BE" w14:textId="77777777" w:rsidR="006B738F" w:rsidRPr="00FF3E4A" w:rsidRDefault="00D203BD" w:rsidP="00B733AA">
            <w:pPr>
              <w:spacing w:after="125"/>
              <w:ind w:left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B738F"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ul. Fryderyka Chopina 6, </w:t>
            </w:r>
          </w:p>
          <w:p w14:paraId="7465581F" w14:textId="21894151" w:rsidR="00BD0628" w:rsidRPr="00FF3E4A" w:rsidRDefault="006B738F" w:rsidP="00B733AA">
            <w:pPr>
              <w:spacing w:after="12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81-752 Sopot</w:t>
            </w:r>
          </w:p>
        </w:tc>
      </w:tr>
      <w:tr w:rsidR="00BD0628" w:rsidRPr="00FF3E4A" w14:paraId="09DC7BF7" w14:textId="77777777">
        <w:trPr>
          <w:trHeight w:val="52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B593DF1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Numer NIP i REGON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3E0F" w14:textId="18604228" w:rsidR="00BD0628" w:rsidRPr="00FF3E4A" w:rsidRDefault="006B738F" w:rsidP="00B733A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NIP: </w:t>
            </w: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5851474568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BADC" w14:textId="06DB5FA0" w:rsidR="00BD0628" w:rsidRPr="00FF3E4A" w:rsidRDefault="006B738F" w:rsidP="00B733A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REGON: </w:t>
            </w: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>364541337</w:t>
            </w:r>
          </w:p>
        </w:tc>
      </w:tr>
      <w:tr w:rsidR="00BD0628" w:rsidRPr="00FF3E4A" w14:paraId="18FA8BB0" w14:textId="77777777">
        <w:trPr>
          <w:trHeight w:val="52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A8C77E3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Numer telefonu 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3268" w14:textId="057A400D" w:rsidR="00BD0628" w:rsidRPr="00FF3E4A" w:rsidRDefault="00D203BD" w:rsidP="00B733AA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B738F"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+48 512 517 509</w:t>
            </w:r>
          </w:p>
        </w:tc>
      </w:tr>
      <w:tr w:rsidR="00BD0628" w:rsidRPr="00FF3E4A" w14:paraId="47B12DFE" w14:textId="77777777">
        <w:trPr>
          <w:trHeight w:val="52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ECD927D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9E0E" w14:textId="60517C93" w:rsidR="00BD0628" w:rsidRPr="00FF3E4A" w:rsidRDefault="00D203BD" w:rsidP="00B733AA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B738F"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biuro@adjinvestment.pl</w:t>
            </w:r>
          </w:p>
        </w:tc>
      </w:tr>
      <w:tr w:rsidR="00BD0628" w:rsidRPr="00FF3E4A" w14:paraId="4FA49C0B" w14:textId="77777777">
        <w:trPr>
          <w:trHeight w:val="52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33E37DF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Numer faksu 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549B" w14:textId="19658FEF" w:rsidR="00BD0628" w:rsidRPr="00FF3E4A" w:rsidRDefault="00D203BD" w:rsidP="00B733AA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B738F"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+48 58 550 10 22</w:t>
            </w:r>
          </w:p>
        </w:tc>
      </w:tr>
      <w:tr w:rsidR="00BD0628" w:rsidRPr="00FF3E4A" w14:paraId="56142EF6" w14:textId="77777777">
        <w:trPr>
          <w:trHeight w:val="757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90334C0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Adres strony internetowej dewelopera 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9307" w14:textId="54D59185" w:rsidR="00BD0628" w:rsidRPr="00FF3E4A" w:rsidRDefault="00D203BD" w:rsidP="00B733AA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B738F"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http://www.adjinvestment.pl/ </w:t>
            </w:r>
          </w:p>
        </w:tc>
      </w:tr>
    </w:tbl>
    <w:p w14:paraId="1B3D01CE" w14:textId="77777777" w:rsidR="006B738F" w:rsidRPr="00FF3E4A" w:rsidRDefault="006B738F" w:rsidP="006B738F">
      <w:pPr>
        <w:spacing w:after="313" w:line="265" w:lineRule="auto"/>
        <w:ind w:left="1078"/>
        <w:rPr>
          <w:rFonts w:asciiTheme="minorHAnsi" w:hAnsiTheme="minorHAnsi" w:cstheme="minorHAnsi"/>
          <w:sz w:val="20"/>
          <w:szCs w:val="20"/>
        </w:rPr>
      </w:pPr>
    </w:p>
    <w:p w14:paraId="5F5A6EC7" w14:textId="3AEC6DCC" w:rsidR="00BD0628" w:rsidRPr="00FF3E4A" w:rsidRDefault="00D203BD" w:rsidP="007B3808">
      <w:pPr>
        <w:numPr>
          <w:ilvl w:val="0"/>
          <w:numId w:val="1"/>
        </w:numPr>
        <w:spacing w:after="0" w:line="265" w:lineRule="auto"/>
        <w:ind w:left="567" w:hanging="425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DOŚWIADCZENIE DEWELOPERA </w:t>
      </w:r>
    </w:p>
    <w:p w14:paraId="2B58B936" w14:textId="77777777" w:rsidR="00BD0628" w:rsidRPr="00FF3E4A" w:rsidRDefault="00D203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327"/>
        <w:ind w:left="216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HISTORIA I UDOKUMENTOWANE DOŚWIADCZENIE DEWELOPERA </w:t>
      </w:r>
    </w:p>
    <w:tbl>
      <w:tblPr>
        <w:tblStyle w:val="TableGrid"/>
        <w:tblW w:w="9864" w:type="dxa"/>
        <w:tblInd w:w="109" w:type="dxa"/>
        <w:tblCellMar>
          <w:top w:w="191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3005"/>
        <w:gridCol w:w="6837"/>
        <w:gridCol w:w="22"/>
      </w:tblGrid>
      <w:tr w:rsidR="00BD0628" w:rsidRPr="00FF3E4A" w14:paraId="1F6974B8" w14:textId="77777777" w:rsidTr="00FF3E4A">
        <w:trPr>
          <w:trHeight w:val="401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C3459E5" w14:textId="5FCC03BC" w:rsidR="00BD0628" w:rsidRPr="00FF3E4A" w:rsidRDefault="00D203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PRZYKŁAD UKOŃCZONEGO PRZEDSIĘWZIĘCIA DEWELOPERSKIEGO (należy wskazać, o ile istnieją, trzy ukończone przedsięwzięcia deweloperskie, w tym ostatnie) </w:t>
            </w:r>
          </w:p>
        </w:tc>
      </w:tr>
      <w:tr w:rsidR="00BD0628" w:rsidRPr="00FF3E4A" w14:paraId="53D7AD23" w14:textId="77777777" w:rsidTr="00FF3E4A">
        <w:trPr>
          <w:gridAfter w:val="1"/>
          <w:wAfter w:w="22" w:type="dxa"/>
          <w:trHeight w:val="31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BAF781C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Adres 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85AB" w14:textId="406F3AAF" w:rsidR="00BD0628" w:rsidRPr="00FF3E4A" w:rsidRDefault="001E3B6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GDYNIA, UL. MEMERTA STANKIEWICZA 12, 12a, 14, 14a, 16, 16a ; GDYNIA, UL. LEONIDA TELIGI 2, 4</w:t>
            </w:r>
            <w:r w:rsidR="0073554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, 4A, 4B, 4C, 4D, </w:t>
            </w:r>
            <w:r w:rsidR="007C64A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4E, 4F, 4G, 4H</w:t>
            </w:r>
          </w:p>
        </w:tc>
      </w:tr>
      <w:tr w:rsidR="00BD0628" w:rsidRPr="00FF3E4A" w14:paraId="4011B1B4" w14:textId="77777777" w:rsidTr="00FF3E4A">
        <w:trPr>
          <w:gridAfter w:val="1"/>
          <w:wAfter w:w="22" w:type="dxa"/>
          <w:trHeight w:val="52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41A0484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Data rozpoczęcia 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E58A" w14:textId="207ABB17" w:rsidR="00BD0628" w:rsidRPr="00FF3E4A" w:rsidRDefault="00D203B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05E2B" w:rsidRPr="00FF3E4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15 LISTOPADA 2019 ROKU</w:t>
            </w:r>
          </w:p>
        </w:tc>
      </w:tr>
      <w:tr w:rsidR="00BD0628" w:rsidRPr="00FF3E4A" w14:paraId="5058FCCC" w14:textId="77777777" w:rsidTr="00FF3E4A">
        <w:trPr>
          <w:gridAfter w:val="1"/>
          <w:wAfter w:w="22" w:type="dxa"/>
          <w:trHeight w:val="75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1DB26AD" w14:textId="107E0D28" w:rsidR="00BD0628" w:rsidRPr="00FF3E4A" w:rsidRDefault="00D203BD">
            <w:pPr>
              <w:ind w:right="2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Data wydania decyzji o pozwoleniu n</w:t>
            </w:r>
            <w:r w:rsidR="00FF3E4A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użytkowanie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55BF" w14:textId="4B6DF84D" w:rsidR="006C1ABE" w:rsidRPr="00FF3E4A" w:rsidRDefault="006C1ABE" w:rsidP="006C1ABE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rzedsięwzięcie nie było objęte obowiązkiem uzyskania pozwolenia na użytkowanie z mocy art. 54 ust. 1 w zw. z art. 55 Prawa budowlanego, w związku z czym do użytkowania budynków przystąpiono na podstawie zaświadczeń o niewniesieniu sprzeciwu do zawiadomień o zakończeniu budowy wydanych przez Powiatowego Inspektora Nadzoru Budowlanego</w:t>
            </w:r>
            <w:r w:rsidRPr="00FF3E4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dla miasta na prawach powiatu w Gdyni o numerach:</w:t>
            </w:r>
          </w:p>
          <w:p w14:paraId="4064F576" w14:textId="0C487C81" w:rsidR="006C1ABE" w:rsidRPr="00FF3E4A" w:rsidRDefault="006C1ABE" w:rsidP="00FF3E4A">
            <w:pPr>
              <w:pStyle w:val="Akapitzlist"/>
              <w:numPr>
                <w:ilvl w:val="0"/>
                <w:numId w:val="9"/>
              </w:numPr>
              <w:spacing w:line="276" w:lineRule="auto"/>
              <w:ind w:left="370" w:hanging="283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INB-IM/7114/489/20/02/1281/dz.2862/1, 2862/2 z dnia 02 lutego 2021 r. </w:t>
            </w:r>
            <w:r w:rsidRPr="00FF3E4A">
              <w:rPr>
                <w:rFonts w:cstheme="minorHAnsi"/>
                <w:color w:val="000000" w:themeColor="text1"/>
                <w:sz w:val="20"/>
                <w:szCs w:val="20"/>
              </w:rPr>
              <w:t>Budynki przy ul. Kpt. Mamerta Stankiewicza nr 12 oraz nr 12a)</w:t>
            </w:r>
          </w:p>
          <w:p w14:paraId="61890B6E" w14:textId="4E202385" w:rsidR="006C1ABE" w:rsidRPr="00FF3E4A" w:rsidRDefault="006C1ABE" w:rsidP="00FF3E4A">
            <w:pPr>
              <w:pStyle w:val="Akapitzlist"/>
              <w:numPr>
                <w:ilvl w:val="0"/>
                <w:numId w:val="9"/>
              </w:numPr>
              <w:spacing w:line="276" w:lineRule="auto"/>
              <w:ind w:left="370" w:hanging="283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INB-IM/7114/488/20/02/1281/dz.2862/3, 2862/4 z dnia 02 lutego 2021 r. </w:t>
            </w:r>
            <w:r w:rsidRPr="00FF3E4A">
              <w:rPr>
                <w:rFonts w:cstheme="minorHAnsi"/>
                <w:color w:val="000000" w:themeColor="text1"/>
                <w:sz w:val="20"/>
                <w:szCs w:val="20"/>
              </w:rPr>
              <w:t>(Budynki przy ul. Kpt. Mamerta Stankiewicza nr 14 oraz nr 14a)</w:t>
            </w:r>
          </w:p>
          <w:p w14:paraId="4B1AD53E" w14:textId="767F2387" w:rsidR="006C1ABE" w:rsidRPr="00FF3E4A" w:rsidRDefault="006C1ABE" w:rsidP="00FF3E4A">
            <w:pPr>
              <w:pStyle w:val="Akapitzlist"/>
              <w:numPr>
                <w:ilvl w:val="0"/>
                <w:numId w:val="9"/>
              </w:numPr>
              <w:spacing w:line="276" w:lineRule="auto"/>
              <w:ind w:left="370" w:hanging="283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INB-IM/7114/258/21/02/1281/dz.2862/5, 2862/6 z dnia 06 lipca 2021 r. </w:t>
            </w:r>
            <w:r w:rsidRPr="00FF3E4A">
              <w:rPr>
                <w:rFonts w:cstheme="minorHAnsi"/>
                <w:color w:val="000000" w:themeColor="text1"/>
                <w:sz w:val="20"/>
                <w:szCs w:val="20"/>
              </w:rPr>
              <w:t>(Budynki przy ul. Kpt. Mamerta Stankiewicza nr 16 oraz nr 16a)</w:t>
            </w:r>
          </w:p>
          <w:p w14:paraId="124638A6" w14:textId="631460BA" w:rsidR="00596447" w:rsidRPr="00596447" w:rsidRDefault="006C1ABE" w:rsidP="00596447">
            <w:pPr>
              <w:pStyle w:val="Akapitzlist"/>
              <w:numPr>
                <w:ilvl w:val="0"/>
                <w:numId w:val="9"/>
              </w:numPr>
              <w:spacing w:line="276" w:lineRule="auto"/>
              <w:ind w:left="370" w:hanging="283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INB-IM/7114/259/21/02/1282/dz.2862/7 z dnia 06 lipca 2021 r. </w:t>
            </w:r>
          </w:p>
          <w:p w14:paraId="6C37E4D2" w14:textId="32E9241E" w:rsidR="006C1ABE" w:rsidRDefault="00FF3E4A" w:rsidP="00FF3E4A">
            <w:pPr>
              <w:pStyle w:val="Akapitzlist"/>
              <w:spacing w:line="276" w:lineRule="auto"/>
              <w:ind w:left="370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</w:t>
            </w:r>
            <w:r w:rsidR="006C1ABE" w:rsidRPr="00FF3E4A">
              <w:rPr>
                <w:rFonts w:cstheme="minorHAnsi"/>
                <w:color w:val="000000" w:themeColor="text1"/>
                <w:sz w:val="20"/>
                <w:szCs w:val="20"/>
              </w:rPr>
              <w:t>(Budynki przy</w:t>
            </w:r>
            <w:r w:rsidR="006C1ABE"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1ABE" w:rsidRPr="00FF3E4A">
              <w:rPr>
                <w:rFonts w:cstheme="minorHAnsi"/>
                <w:color w:val="000000" w:themeColor="text1"/>
                <w:sz w:val="20"/>
                <w:szCs w:val="20"/>
              </w:rPr>
              <w:t>ul. Leonida Teligi nr 2 oraz 4)</w:t>
            </w:r>
            <w:r w:rsidR="0073554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74AD5AA" w14:textId="77777777" w:rsidR="00596447" w:rsidRPr="00FF3E4A" w:rsidRDefault="00596447" w:rsidP="00596447">
            <w:pPr>
              <w:pStyle w:val="Akapitzlist"/>
              <w:numPr>
                <w:ilvl w:val="0"/>
                <w:numId w:val="9"/>
              </w:numPr>
              <w:spacing w:line="276" w:lineRule="auto"/>
              <w:ind w:left="370" w:hanging="283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INB-IM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.5120/21.25.01.1282/dz.2862/21</w:t>
            </w: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z dnia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l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utego</w:t>
            </w: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r. </w:t>
            </w:r>
          </w:p>
          <w:p w14:paraId="6EAB28D8" w14:textId="71225330" w:rsidR="00596447" w:rsidRPr="00596447" w:rsidRDefault="00596447" w:rsidP="00596447">
            <w:pPr>
              <w:pStyle w:val="Akapitzlist"/>
              <w:spacing w:line="276" w:lineRule="auto"/>
              <w:ind w:left="370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(Budynki przy</w:t>
            </w: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F3E4A">
              <w:rPr>
                <w:rFonts w:cstheme="minorHAnsi"/>
                <w:color w:val="000000" w:themeColor="text1"/>
                <w:sz w:val="20"/>
                <w:szCs w:val="20"/>
              </w:rPr>
              <w:t xml:space="preserve">ul. Leonida Teligi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4A oraz 4B</w:t>
            </w:r>
            <w:r w:rsidRPr="00FF3E4A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72CE192" w14:textId="77777777" w:rsidR="00C22803" w:rsidRDefault="00E13711" w:rsidP="00E13711">
            <w:pPr>
              <w:pStyle w:val="Akapitzlist"/>
              <w:numPr>
                <w:ilvl w:val="0"/>
                <w:numId w:val="9"/>
              </w:numPr>
              <w:spacing w:line="276" w:lineRule="auto"/>
              <w:ind w:left="370" w:hanging="283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INB-IM</w:t>
            </w:r>
            <w:r w:rsidR="0075782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.5120.22.25.03.1282/dz.2862/19,20</w:t>
            </w: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z dnia </w:t>
            </w:r>
            <w:r w:rsidR="00AE10C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18</w:t>
            </w: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E10C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marca</w:t>
            </w: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E10C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FF3E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r. </w:t>
            </w:r>
          </w:p>
          <w:p w14:paraId="07B82449" w14:textId="2F5096CE" w:rsidR="00E13711" w:rsidRPr="00FF3E4A" w:rsidRDefault="00E13711" w:rsidP="00C22803">
            <w:pPr>
              <w:pStyle w:val="Akapitzlist"/>
              <w:spacing w:line="276" w:lineRule="auto"/>
              <w:ind w:left="37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E4A">
              <w:rPr>
                <w:rFonts w:cstheme="minorHAnsi"/>
                <w:color w:val="000000" w:themeColor="text1"/>
                <w:sz w:val="20"/>
                <w:szCs w:val="20"/>
              </w:rPr>
              <w:t xml:space="preserve">(Budynki przy ul. </w:t>
            </w:r>
            <w:r w:rsidR="007B1790">
              <w:rPr>
                <w:rFonts w:cstheme="minorHAnsi"/>
                <w:color w:val="000000" w:themeColor="text1"/>
                <w:sz w:val="20"/>
                <w:szCs w:val="20"/>
              </w:rPr>
              <w:t xml:space="preserve">Leonida Teligi 4C </w:t>
            </w:r>
            <w:r w:rsidR="00C22803">
              <w:rPr>
                <w:rFonts w:cstheme="minorHAnsi"/>
                <w:color w:val="000000" w:themeColor="text1"/>
                <w:sz w:val="20"/>
                <w:szCs w:val="20"/>
              </w:rPr>
              <w:t>oraz</w:t>
            </w:r>
            <w:r w:rsidR="007B1790">
              <w:rPr>
                <w:rFonts w:cstheme="minorHAnsi"/>
                <w:color w:val="000000" w:themeColor="text1"/>
                <w:sz w:val="20"/>
                <w:szCs w:val="20"/>
              </w:rPr>
              <w:t xml:space="preserve"> 4D</w:t>
            </w:r>
            <w:r w:rsidRPr="00FF3E4A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57C8119C" w14:textId="2C8F54CF" w:rsidR="00E13711" w:rsidRPr="005B5947" w:rsidRDefault="00E13711" w:rsidP="00E13711">
            <w:pPr>
              <w:pStyle w:val="Akapitzlist"/>
              <w:numPr>
                <w:ilvl w:val="0"/>
                <w:numId w:val="9"/>
              </w:numPr>
              <w:spacing w:line="276" w:lineRule="auto"/>
              <w:ind w:left="370" w:hanging="28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5947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 w:rsidR="009F5E58" w:rsidRPr="005B5947">
              <w:rPr>
                <w:rFonts w:cstheme="minorHAnsi"/>
                <w:b/>
                <w:bCs/>
                <w:sz w:val="20"/>
                <w:szCs w:val="20"/>
              </w:rPr>
              <w:t>B-IM</w:t>
            </w:r>
            <w:r w:rsidR="005B5947" w:rsidRPr="005B5947">
              <w:rPr>
                <w:rFonts w:cstheme="minorHAnsi"/>
                <w:b/>
                <w:bCs/>
                <w:sz w:val="20"/>
                <w:szCs w:val="20"/>
              </w:rPr>
              <w:t>.5120.121.25.01.1282/dz.2862/15,2862/16</w:t>
            </w:r>
            <w:r w:rsidRPr="005B5947">
              <w:rPr>
                <w:rFonts w:cstheme="minorHAnsi"/>
                <w:b/>
                <w:bCs/>
                <w:sz w:val="20"/>
                <w:szCs w:val="20"/>
              </w:rPr>
              <w:t xml:space="preserve"> z dnia </w:t>
            </w:r>
            <w:r w:rsidR="005B5947" w:rsidRPr="005B5947"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Pr="005B594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B5947" w:rsidRPr="005B5947">
              <w:rPr>
                <w:rFonts w:cstheme="minorHAnsi"/>
                <w:b/>
                <w:bCs/>
                <w:sz w:val="20"/>
                <w:szCs w:val="20"/>
              </w:rPr>
              <w:t>maja</w:t>
            </w:r>
            <w:r w:rsidRPr="005B5947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5B5947" w:rsidRPr="005B5947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5B5947">
              <w:rPr>
                <w:rFonts w:cstheme="minorHAnsi"/>
                <w:b/>
                <w:bCs/>
                <w:sz w:val="20"/>
                <w:szCs w:val="20"/>
              </w:rPr>
              <w:t xml:space="preserve"> r. </w:t>
            </w:r>
            <w:r w:rsidRPr="005B5947">
              <w:rPr>
                <w:rFonts w:cstheme="minorHAnsi"/>
                <w:sz w:val="20"/>
                <w:szCs w:val="20"/>
              </w:rPr>
              <w:t xml:space="preserve">(Budynki przy </w:t>
            </w:r>
            <w:r w:rsidR="005B5947" w:rsidRPr="005B5947">
              <w:rPr>
                <w:rFonts w:cstheme="minorHAnsi"/>
                <w:sz w:val="20"/>
                <w:szCs w:val="20"/>
              </w:rPr>
              <w:t>ul. Leonida Teligi 4G oraz 4H</w:t>
            </w:r>
            <w:r w:rsidRPr="005B5947">
              <w:rPr>
                <w:rFonts w:cstheme="minorHAnsi"/>
                <w:sz w:val="20"/>
                <w:szCs w:val="20"/>
              </w:rPr>
              <w:t>)</w:t>
            </w:r>
          </w:p>
          <w:p w14:paraId="315881D0" w14:textId="0F29AC7D" w:rsidR="00E13711" w:rsidRPr="00492B78" w:rsidRDefault="00E13711" w:rsidP="00E13711">
            <w:pPr>
              <w:pStyle w:val="Akapitzlist"/>
              <w:numPr>
                <w:ilvl w:val="0"/>
                <w:numId w:val="9"/>
              </w:numPr>
              <w:spacing w:line="276" w:lineRule="auto"/>
              <w:ind w:left="370" w:hanging="28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92B78">
              <w:rPr>
                <w:rFonts w:cstheme="minorHAnsi"/>
                <w:b/>
                <w:bCs/>
                <w:sz w:val="20"/>
                <w:szCs w:val="20"/>
              </w:rPr>
              <w:t>INB-IM</w:t>
            </w:r>
            <w:r w:rsidR="00851C32" w:rsidRPr="00492B78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492B78" w:rsidRPr="00492B78">
              <w:rPr>
                <w:rFonts w:cstheme="minorHAnsi"/>
                <w:b/>
                <w:bCs/>
                <w:sz w:val="20"/>
                <w:szCs w:val="20"/>
              </w:rPr>
              <w:t xml:space="preserve">5120.120.25.01.1282/dz.2862/17,2862/18 </w:t>
            </w:r>
            <w:r w:rsidRPr="00492B78">
              <w:rPr>
                <w:rFonts w:cstheme="minorHAnsi"/>
                <w:b/>
                <w:bCs/>
                <w:sz w:val="20"/>
                <w:szCs w:val="20"/>
              </w:rPr>
              <w:t xml:space="preserve"> z dnia </w:t>
            </w:r>
            <w:r w:rsidR="00492B78" w:rsidRPr="00492B78"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Pr="00492B7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92B78" w:rsidRPr="00492B78">
              <w:rPr>
                <w:rFonts w:cstheme="minorHAnsi"/>
                <w:b/>
                <w:bCs/>
                <w:sz w:val="20"/>
                <w:szCs w:val="20"/>
              </w:rPr>
              <w:t>maja</w:t>
            </w:r>
            <w:r w:rsidRPr="00492B78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492B78" w:rsidRPr="00492B78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492B78">
              <w:rPr>
                <w:rFonts w:cstheme="minorHAnsi"/>
                <w:b/>
                <w:bCs/>
                <w:sz w:val="20"/>
                <w:szCs w:val="20"/>
              </w:rPr>
              <w:t xml:space="preserve"> r. </w:t>
            </w:r>
          </w:p>
          <w:p w14:paraId="2B78D0DF" w14:textId="46323FE5" w:rsidR="00E13711" w:rsidRPr="00492B78" w:rsidRDefault="00E13711" w:rsidP="00E13711">
            <w:pPr>
              <w:pStyle w:val="Akapitzlist"/>
              <w:spacing w:line="276" w:lineRule="auto"/>
              <w:ind w:left="370" w:hanging="283"/>
              <w:jc w:val="both"/>
              <w:rPr>
                <w:rFonts w:cstheme="minorHAnsi"/>
                <w:sz w:val="20"/>
                <w:szCs w:val="20"/>
              </w:rPr>
            </w:pPr>
            <w:r w:rsidRPr="00492B78">
              <w:rPr>
                <w:rFonts w:cstheme="minorHAnsi"/>
                <w:sz w:val="20"/>
                <w:szCs w:val="20"/>
              </w:rPr>
              <w:t xml:space="preserve">     </w:t>
            </w:r>
            <w:r w:rsidR="00492B78">
              <w:rPr>
                <w:rFonts w:cstheme="minorHAnsi"/>
                <w:sz w:val="20"/>
                <w:szCs w:val="20"/>
              </w:rPr>
              <w:t xml:space="preserve"> </w:t>
            </w:r>
            <w:r w:rsidRPr="00492B78">
              <w:rPr>
                <w:rFonts w:cstheme="minorHAnsi"/>
                <w:sz w:val="20"/>
                <w:szCs w:val="20"/>
              </w:rPr>
              <w:t>(Budynki przy</w:t>
            </w:r>
            <w:r w:rsidRPr="00492B7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92B78">
              <w:rPr>
                <w:rFonts w:cstheme="minorHAnsi"/>
                <w:sz w:val="20"/>
                <w:szCs w:val="20"/>
              </w:rPr>
              <w:t xml:space="preserve">ul. Leonida Teligi </w:t>
            </w:r>
            <w:r w:rsidR="00492B78" w:rsidRPr="00492B78">
              <w:rPr>
                <w:rFonts w:cstheme="minorHAnsi"/>
                <w:sz w:val="20"/>
                <w:szCs w:val="20"/>
              </w:rPr>
              <w:t>4E</w:t>
            </w:r>
            <w:r w:rsidRPr="00492B78">
              <w:rPr>
                <w:rFonts w:cstheme="minorHAnsi"/>
                <w:sz w:val="20"/>
                <w:szCs w:val="20"/>
              </w:rPr>
              <w:t xml:space="preserve"> oraz 4</w:t>
            </w:r>
            <w:r w:rsidR="00492B78" w:rsidRPr="00492B78">
              <w:rPr>
                <w:rFonts w:cstheme="minorHAnsi"/>
                <w:sz w:val="20"/>
                <w:szCs w:val="20"/>
              </w:rPr>
              <w:t>F</w:t>
            </w:r>
            <w:r w:rsidRPr="00492B78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79748FA8" w14:textId="77777777" w:rsidR="00E13711" w:rsidRDefault="00E13711" w:rsidP="00FF3E4A">
            <w:pPr>
              <w:pStyle w:val="Akapitzlist"/>
              <w:spacing w:line="276" w:lineRule="auto"/>
              <w:ind w:left="370" w:hanging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812A5C" w14:textId="77777777" w:rsidR="0004028E" w:rsidRPr="00E13711" w:rsidRDefault="0004028E" w:rsidP="00E13711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F677DFC" w14:textId="37522F6C" w:rsidR="00BD0628" w:rsidRPr="00FF3E4A" w:rsidRDefault="00BD0628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74C99603" w14:textId="77777777" w:rsidTr="00FF3E4A">
        <w:trPr>
          <w:trHeight w:val="902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0E6FD33" w14:textId="77777777" w:rsidR="00BD0628" w:rsidRPr="00FF3E4A" w:rsidRDefault="00D203BD">
            <w:pPr>
              <w:spacing w:after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PRZYKŁAD INNEGO UKOŃCZONEGO PRZEDSIĘWZIĘCIA DEWELOPERSKIEGO </w:t>
            </w:r>
          </w:p>
          <w:p w14:paraId="388C2DE6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D0628" w:rsidRPr="00FF3E4A" w14:paraId="3F7E69A3" w14:textId="77777777" w:rsidTr="00FF3E4A">
        <w:trPr>
          <w:gridAfter w:val="1"/>
          <w:wAfter w:w="22" w:type="dxa"/>
          <w:trHeight w:val="52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48CE500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Adres 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5C3A3133" w14:textId="77777777" w:rsidR="00BD0628" w:rsidRPr="00FF3E4A" w:rsidRDefault="00D203B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796EB66D" w14:textId="77777777" w:rsidTr="00FF3E4A">
        <w:trPr>
          <w:gridAfter w:val="1"/>
          <w:wAfter w:w="22" w:type="dxa"/>
          <w:trHeight w:val="52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FA77292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Data rozpoczęcia 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5E33B83" w14:textId="77777777" w:rsidR="00BD0628" w:rsidRPr="00FF3E4A" w:rsidRDefault="00D203B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4C465307" w14:textId="77777777" w:rsidTr="00FF3E4A">
        <w:trPr>
          <w:gridAfter w:val="1"/>
          <w:wAfter w:w="22" w:type="dxa"/>
          <w:trHeight w:val="75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596963" w14:textId="77777777" w:rsidR="00BD0628" w:rsidRPr="00FF3E4A" w:rsidRDefault="00D203BD">
            <w:pPr>
              <w:ind w:right="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Data wydania decyzji  o pozwoleniu na użytkowanie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C2CC31F" w14:textId="77777777" w:rsidR="00BD0628" w:rsidRPr="00FF3E4A" w:rsidRDefault="00D203B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6F0661CB" w14:textId="77777777" w:rsidTr="00FF3E4A">
        <w:trPr>
          <w:trHeight w:val="894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40EC1A6B" w14:textId="77777777" w:rsidR="00BD0628" w:rsidRPr="00FF3E4A" w:rsidRDefault="00D203BD">
            <w:pPr>
              <w:spacing w:after="26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PRZYKŁAD OSTATNIEGO UKOŃCZONEGO PRZEDSIĘWZIĘCIA DEWELOPERSKIEGO </w:t>
            </w:r>
          </w:p>
          <w:p w14:paraId="3CBE63C5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D0628" w:rsidRPr="00FF3E4A" w14:paraId="01DB8A33" w14:textId="77777777" w:rsidTr="00FF3E4A">
        <w:trPr>
          <w:gridAfter w:val="1"/>
          <w:wAfter w:w="22" w:type="dxa"/>
          <w:trHeight w:val="52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2E291CB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Adres 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0C10" w14:textId="2687C9E4" w:rsidR="00BD0628" w:rsidRPr="00FF3E4A" w:rsidRDefault="00D203B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BB292F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Jak w pozycji „</w:t>
            </w:r>
            <w:r w:rsidR="00BB292F"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PRZYKŁAD UKOŃCZONEGO PRZEDSIĘWZIĘCIA DEWELOPERSKIEGO”</w:t>
            </w:r>
          </w:p>
        </w:tc>
      </w:tr>
      <w:tr w:rsidR="00BD0628" w:rsidRPr="00FF3E4A" w14:paraId="0F41D5A0" w14:textId="77777777" w:rsidTr="00FF3E4A">
        <w:trPr>
          <w:gridAfter w:val="1"/>
          <w:wAfter w:w="22" w:type="dxa"/>
          <w:trHeight w:val="52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E516579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Data rozpoczęcia 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AD78" w14:textId="3480487F" w:rsidR="00BD0628" w:rsidRPr="00FF3E4A" w:rsidRDefault="00D203B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BB292F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Jak w pozycji „</w:t>
            </w:r>
            <w:r w:rsidR="00BB292F"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PRZYKŁAD UKOŃCZONEGO PRZEDSIĘWZIĘCIA DEWELOPERSKIEGO”</w:t>
            </w:r>
          </w:p>
        </w:tc>
      </w:tr>
      <w:tr w:rsidR="00BD0628" w:rsidRPr="00FF3E4A" w14:paraId="05AE09C0" w14:textId="77777777" w:rsidTr="00FF3E4A">
        <w:trPr>
          <w:gridAfter w:val="1"/>
          <w:wAfter w:w="22" w:type="dxa"/>
          <w:trHeight w:val="75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BAD0682" w14:textId="77777777" w:rsidR="00BD0628" w:rsidRPr="00FF3E4A" w:rsidRDefault="00D203BD">
            <w:pPr>
              <w:ind w:right="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Data wydania decyzji o pozwoleniu na użytkowanie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8995" w14:textId="71D229DB" w:rsidR="00BD0628" w:rsidRPr="00FF3E4A" w:rsidRDefault="00D203B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BB292F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Jak w pozycji „</w:t>
            </w:r>
            <w:r w:rsidR="00BB292F"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PRZYKŁAD UKOŃCZONEGO PRZEDSIĘWZIĘCIA DEWELOPERSKIEGO”</w:t>
            </w:r>
          </w:p>
        </w:tc>
      </w:tr>
    </w:tbl>
    <w:p w14:paraId="00B8BE74" w14:textId="77777777" w:rsidR="00BD0628" w:rsidRPr="00FF3E4A" w:rsidRDefault="00D203B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649" w:type="dxa"/>
        <w:tblInd w:w="109" w:type="dxa"/>
        <w:tblCellMar>
          <w:top w:w="18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6644"/>
      </w:tblGrid>
      <w:tr w:rsidR="00BD0628" w:rsidRPr="00FF3E4A" w14:paraId="3A193ECE" w14:textId="77777777" w:rsidTr="007B3808">
        <w:trPr>
          <w:trHeight w:val="121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A6F285B" w14:textId="77777777" w:rsidR="00BD0628" w:rsidRPr="00FF3E4A" w:rsidRDefault="00D203BD">
            <w:pPr>
              <w:ind w:righ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Czy przeciwko deweloperowi prowadzono lub prowadzi się postępowania egzekucyjne na kwotę powyżej 100 000 zł</w:t>
            </w: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F817" w14:textId="38C97971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3C49BE"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NIE</w:t>
            </w:r>
          </w:p>
        </w:tc>
      </w:tr>
    </w:tbl>
    <w:p w14:paraId="7ACABAB0" w14:textId="7AB854A7" w:rsidR="00BD0628" w:rsidRDefault="00D203BD" w:rsidP="00422209">
      <w:pPr>
        <w:spacing w:after="126"/>
        <w:rPr>
          <w:rFonts w:asciiTheme="minorHAnsi" w:eastAsia="Times New Roman" w:hAnsiTheme="minorHAnsi" w:cstheme="minorHAnsi"/>
          <w:b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  </w:t>
      </w:r>
    </w:p>
    <w:p w14:paraId="124DEA68" w14:textId="52265C31" w:rsidR="007B3808" w:rsidRDefault="007B3808" w:rsidP="00422209">
      <w:pPr>
        <w:spacing w:after="126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4AB976C" w14:textId="77777777" w:rsidR="007B3808" w:rsidRDefault="007B3808" w:rsidP="00422209">
      <w:pPr>
        <w:spacing w:after="126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BEF8249" w14:textId="77777777" w:rsidR="00FF3E4A" w:rsidRPr="00FF3E4A" w:rsidRDefault="00FF3E4A" w:rsidP="00422209">
      <w:pPr>
        <w:spacing w:after="126"/>
        <w:rPr>
          <w:rFonts w:asciiTheme="minorHAnsi" w:hAnsiTheme="minorHAnsi" w:cstheme="minorHAnsi"/>
          <w:sz w:val="20"/>
          <w:szCs w:val="20"/>
        </w:rPr>
      </w:pPr>
    </w:p>
    <w:p w14:paraId="4E68EB8C" w14:textId="77777777" w:rsidR="00BD0628" w:rsidRPr="00FF3E4A" w:rsidRDefault="00D203BD" w:rsidP="007B3808">
      <w:pPr>
        <w:numPr>
          <w:ilvl w:val="0"/>
          <w:numId w:val="1"/>
        </w:numPr>
        <w:spacing w:after="0" w:line="265" w:lineRule="auto"/>
        <w:ind w:left="567" w:hanging="425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INFORMACJE DOTYCZĄCE NIERUCHOMOŚCI I </w:t>
      </w:r>
      <w:r w:rsidR="00DA2D0D" w:rsidRPr="00FF3E4A">
        <w:rPr>
          <w:rFonts w:asciiTheme="minorHAnsi" w:eastAsia="Times New Roman" w:hAnsiTheme="minorHAnsi" w:cstheme="minorHAnsi"/>
          <w:b/>
          <w:sz w:val="20"/>
          <w:szCs w:val="20"/>
        </w:rPr>
        <w:t>ZADANIA INWESTCYJNEGO</w:t>
      </w: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648" w:type="dxa"/>
        <w:tblInd w:w="109" w:type="dxa"/>
        <w:tblCellMar>
          <w:top w:w="182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809"/>
        <w:gridCol w:w="3419"/>
        <w:gridCol w:w="3420"/>
      </w:tblGrid>
      <w:tr w:rsidR="00BD0628" w:rsidRPr="00FF3E4A" w14:paraId="6B1CEE59" w14:textId="77777777">
        <w:trPr>
          <w:trHeight w:val="900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A212C35" w14:textId="77777777" w:rsidR="00BD0628" w:rsidRPr="00FF3E4A" w:rsidRDefault="00D203BD">
            <w:pPr>
              <w:spacing w:after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INFORMACJE DOTYCZĄCE GRUNTU I ZAGOSPODAROWANIA PRZESTRZENNEGO TERENU </w:t>
            </w:r>
          </w:p>
          <w:p w14:paraId="55A9B8A1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D0628" w:rsidRPr="00FF3E4A" w14:paraId="0EC82314" w14:textId="77777777" w:rsidTr="009E3493">
        <w:trPr>
          <w:trHeight w:val="63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FF0C1D2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Adres, numer działki ewidencyjnej i numer obrębu ewidencyjnego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>)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4760" w14:textId="35DDB3D9" w:rsidR="00EC297E" w:rsidRPr="00FF3E4A" w:rsidRDefault="00EC297E" w:rsidP="00EC297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Gdynia, obręb Chwarzno - Wiczlino 0011</w:t>
            </w:r>
          </w:p>
          <w:p w14:paraId="0AD50EB0" w14:textId="6C7D5530" w:rsidR="00EC297E" w:rsidRPr="00FF3E4A" w:rsidRDefault="00EC297E" w:rsidP="00EC297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Działki numer: </w:t>
            </w:r>
            <w:r w:rsidR="0073554F" w:rsidRPr="0073554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3272/1 i 3272/2</w:t>
            </w:r>
          </w:p>
          <w:p w14:paraId="624867EF" w14:textId="2AA11D20" w:rsidR="00BD0628" w:rsidRPr="00FF3E4A" w:rsidRDefault="00BD062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127C8C38" w14:textId="77777777" w:rsidTr="009E3493">
        <w:trPr>
          <w:trHeight w:val="20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EF67548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Numer księgi wieczystej  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1BC8" w14:textId="48AD585E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E10147"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GD1Y/00</w:t>
            </w:r>
            <w:r w:rsidR="007355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011354/4</w:t>
            </w:r>
          </w:p>
        </w:tc>
      </w:tr>
      <w:tr w:rsidR="00BD0628" w:rsidRPr="00FF3E4A" w14:paraId="77CBA17E" w14:textId="77777777" w:rsidTr="009E3493">
        <w:trPr>
          <w:trHeight w:val="57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F1BFB89" w14:textId="77777777" w:rsidR="00BD0628" w:rsidRPr="00FF3E4A" w:rsidRDefault="00D203BD">
            <w:pPr>
              <w:ind w:righ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Istniejące obciążenia hipoteczne nieruchomości lub wnioski o wpis w dziale czwartym księgi wieczystej 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A3A3" w14:textId="2092DF54" w:rsidR="00BD0628" w:rsidRPr="00FF3E4A" w:rsidRDefault="00D203BD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E10147"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</w:tr>
      <w:tr w:rsidR="00BD0628" w:rsidRPr="00FF3E4A" w14:paraId="4D2EB1A7" w14:textId="77777777" w:rsidTr="009E3493">
        <w:trPr>
          <w:trHeight w:val="443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9FF5396" w14:textId="77777777" w:rsidR="00BD0628" w:rsidRPr="00FF3E4A" w:rsidRDefault="00D203BD">
            <w:pPr>
              <w:ind w:right="286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braku księgi wieczystej informacja o powierzchni działki i stanie prawnym nieruchomości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footnoteReference w:id="2"/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>)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336823A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1E99AB4E" w14:textId="77777777" w:rsidTr="009E3493">
        <w:trPr>
          <w:trHeight w:val="97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362318E" w14:textId="77777777" w:rsidR="00BD0628" w:rsidRPr="00FF3E4A" w:rsidRDefault="00D203BD">
            <w:pPr>
              <w:ind w:righ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Informacje dotyczące obiektów istniejących położonych w sąsiedztwie inwestycji </w:t>
            </w:r>
          </w:p>
          <w:p w14:paraId="3913DEEA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i wpływających na warunki życia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>3)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7AF831C1" w14:textId="2A9BAD2D" w:rsidR="00BD0628" w:rsidRPr="00FF3E4A" w:rsidRDefault="00BD0628" w:rsidP="00BB292F">
            <w:pPr>
              <w:spacing w:after="12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391F217D" w14:textId="77777777" w:rsidTr="00286F4D">
        <w:trPr>
          <w:trHeight w:val="409"/>
        </w:trPr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84DA249" w14:textId="77777777" w:rsidR="00BD0628" w:rsidRPr="00FF3E4A" w:rsidRDefault="00D203BD">
            <w:pPr>
              <w:spacing w:after="144" w:line="239" w:lineRule="auto"/>
              <w:ind w:right="1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Akty planowania przestrzennego i inne akty prawne na terenie objętym przedsięwzięciem deweloperskim lub zadaniem inwestycyjnym </w:t>
            </w:r>
          </w:p>
          <w:p w14:paraId="255780EB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8C44" w14:textId="406619B0" w:rsidR="00BD0628" w:rsidRPr="00FF3E4A" w:rsidRDefault="00286F4D" w:rsidP="007B3808">
            <w:pPr>
              <w:ind w:right="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Plan ogólny gminy</w:t>
            </w:r>
            <w:r w:rsidR="00D203BD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ED4" w14:textId="22E56D28" w:rsidR="00BD0628" w:rsidRPr="00FF3E4A" w:rsidRDefault="009E3493" w:rsidP="00FF3E4A">
            <w:pPr>
              <w:ind w:left="4" w:right="4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UCHWAŁA NR XXXIII/835/17 RADY MIASTA GDYNI z dnia 28 czerwca 2017 r. w sprawie uchwalenia miejscowego</w:t>
            </w:r>
            <w:r w:rsidR="00FF3E4A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planu</w:t>
            </w:r>
            <w:r w:rsidR="00FF3E4A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zagospodarowania przestrzennego części dzielnicy Chwarzno - Wiczlino w Gdyni, rejonu ulic Wiczlińskiej, Chwarznieńskiej i A. Krauzego.</w:t>
            </w:r>
            <w:r w:rsidR="00CB6538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(</w:t>
            </w:r>
            <w:r w:rsidR="00CB6538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6538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Opublikowano w Dzienniku Urzędowym Województwa Pomorskiego z dnia 11 sierpnia 2017 r., poz. 2981 (DZ. URZ. WOJ. 2017.2981)</w:t>
            </w:r>
          </w:p>
        </w:tc>
      </w:tr>
      <w:tr w:rsidR="00BD0628" w:rsidRPr="00FF3E4A" w14:paraId="2FE56C32" w14:textId="77777777" w:rsidTr="00286F4D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49445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0F6F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Miejscowy plan zagospodarowania przestrzennego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1CC3F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4B24D6B8" w14:textId="77777777" w:rsidTr="009E3493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1BB5E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FBAF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Miejscowy plan odbudowy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D500D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2328B17B" w14:textId="77777777" w:rsidTr="009E3493">
        <w:trPr>
          <w:trHeight w:val="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1C12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C677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Inne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>4)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9A99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3991A3CC" w14:textId="77777777" w:rsidTr="00FF3E4A">
        <w:trPr>
          <w:trHeight w:val="889"/>
        </w:trPr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B2D839D" w14:textId="77777777" w:rsidR="00BD0628" w:rsidRPr="00FF3E4A" w:rsidRDefault="00D203BD">
            <w:pPr>
              <w:spacing w:after="145"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Ustalenia obowiązującego miejscowego planu zagospodarowania przestrzennego dla terenu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objętego przedsięwzięciem deweloperskim lub zadaniem inwestycyjnym  </w:t>
            </w:r>
          </w:p>
          <w:p w14:paraId="4C1F0643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054A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Przeznaczenie terenu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D6A0" w14:textId="67F34093" w:rsidR="00BD0628" w:rsidRPr="00FF3E4A" w:rsidRDefault="009A0407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MPZP </w:t>
            </w:r>
            <w:r w:rsidR="001909AF"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="007C5F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75</w:t>
            </w: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MW1, MN</w:t>
            </w:r>
            <w:r w:rsidR="007C5F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FA7FA9"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zabudowa wielorodzinna w budynkach zawierających do 4 mieszkań, zabudowa jednorodzinna wolnostojąca</w:t>
            </w:r>
          </w:p>
        </w:tc>
      </w:tr>
      <w:tr w:rsidR="00BD0628" w:rsidRPr="00FF3E4A" w14:paraId="411B6460" w14:textId="77777777" w:rsidTr="007B3808">
        <w:trPr>
          <w:trHeight w:val="1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5A3B3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D4A8" w14:textId="27F4510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Maksymalna intensywność zabudowy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3178" w14:textId="6EBFD247" w:rsidR="00EE1890" w:rsidRPr="00FF3E4A" w:rsidRDefault="00BD6344" w:rsidP="00EE189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E1890"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 zabudowy jednorodzinnej wolnostojącej – do 1,0</w:t>
            </w:r>
          </w:p>
          <w:p w14:paraId="4843928C" w14:textId="188ECD22" w:rsidR="00EE1890" w:rsidRPr="00FF3E4A" w:rsidRDefault="00EE1890" w:rsidP="00EE189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359E969" w14:textId="630D7E91" w:rsidR="00EE1890" w:rsidRPr="00FF3E4A" w:rsidRDefault="00173862" w:rsidP="00EE189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</w:t>
            </w:r>
            <w:r w:rsidR="00EE1890"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la zabudowy wielorodzinnej – do 1,2 </w:t>
            </w:r>
          </w:p>
          <w:p w14:paraId="11DC0794" w14:textId="0B5C5836" w:rsidR="00BD0628" w:rsidRPr="00FF3E4A" w:rsidRDefault="00BD062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0F0C49A6" w14:textId="77777777" w:rsidTr="00286F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685C6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A6E108" w14:textId="798D2D80" w:rsidR="00BD0628" w:rsidRPr="00FF3E4A" w:rsidRDefault="00286F4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>Maksymalna i minimalna nadziemna intensywność zabudowy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3E385" w14:textId="62D53615" w:rsidR="00BD0628" w:rsidRPr="00FF3E4A" w:rsidRDefault="007C01D4" w:rsidP="00BD63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Brak</w:t>
            </w:r>
          </w:p>
        </w:tc>
      </w:tr>
      <w:tr w:rsidR="00286F4D" w:rsidRPr="00FF3E4A" w14:paraId="12E623ED" w14:textId="77777777" w:rsidTr="00286F4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7AA1A" w14:textId="77777777" w:rsidR="00286F4D" w:rsidRPr="00FF3E4A" w:rsidRDefault="00286F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57A9E" w14:textId="19061C9D" w:rsidR="00286F4D" w:rsidRPr="00FF3E4A" w:rsidRDefault="00286F4D" w:rsidP="00286F4D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Maksymalna powierzchnia zabudowy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DCAB4" w14:textId="207A7D21" w:rsidR="00286F4D" w:rsidRPr="00FF3E4A" w:rsidRDefault="007C01D4" w:rsidP="00286F4D">
            <w:pPr>
              <w:ind w:left="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Brak</w:t>
            </w:r>
          </w:p>
        </w:tc>
      </w:tr>
      <w:tr w:rsidR="00286F4D" w:rsidRPr="00FF3E4A" w14:paraId="3E902809" w14:textId="77777777" w:rsidTr="009706DB">
        <w:trPr>
          <w:trHeight w:val="4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1B4BC" w14:textId="77777777" w:rsidR="00286F4D" w:rsidRPr="00FF3E4A" w:rsidRDefault="00286F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207A" w14:textId="77777777" w:rsidR="00286F4D" w:rsidRPr="00FF3E4A" w:rsidRDefault="00286F4D" w:rsidP="00286F4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05F408D" w14:textId="77777777" w:rsidR="00286F4D" w:rsidRPr="00FF3E4A" w:rsidRDefault="00286F4D" w:rsidP="00286F4D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Maksymalna wysokość zabudowy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4488" w14:textId="77777777" w:rsidR="00286F4D" w:rsidRPr="00FF3E4A" w:rsidRDefault="00286F4D" w:rsidP="00286F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3C3A2A" w14:textId="2888BAD7" w:rsidR="00286F4D" w:rsidRPr="00FF3E4A" w:rsidRDefault="00286F4D" w:rsidP="009706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 12 m i 3 kondygnacji </w:t>
            </w:r>
          </w:p>
        </w:tc>
      </w:tr>
      <w:tr w:rsidR="00BD0628" w:rsidRPr="00FF3E4A" w14:paraId="2FB2BE04" w14:textId="77777777" w:rsidTr="00FF3E4A">
        <w:trPr>
          <w:trHeight w:val="4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722118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93F9" w14:textId="77777777" w:rsidR="00BD0628" w:rsidRPr="00FF3E4A" w:rsidRDefault="00D203B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Minimalny udział procentowy powierzchni biologicznie czynnej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93C4" w14:textId="39518B60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F71224"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35% powierzchni działki</w:t>
            </w:r>
          </w:p>
        </w:tc>
      </w:tr>
      <w:tr w:rsidR="00BD0628" w:rsidRPr="00FF3E4A" w14:paraId="5D0FF838" w14:textId="77777777" w:rsidTr="00FF3E4A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06402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A8A6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Minimalna liczba miejsc do parkowania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AEF6" w14:textId="07764BD9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5B1C58" w:rsidRPr="00FF3E4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1,5 miejsca na lokal </w:t>
            </w:r>
          </w:p>
        </w:tc>
      </w:tr>
      <w:tr w:rsidR="00BD0628" w:rsidRPr="00FF3E4A" w14:paraId="0A40F54A" w14:textId="77777777" w:rsidTr="00FF3E4A">
        <w:trPr>
          <w:trHeight w:val="4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268EA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BA69" w14:textId="77777777" w:rsidR="00BD0628" w:rsidRPr="00FF3E4A" w:rsidRDefault="00D203B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Warunki ochrony środowiska i zdrowia ludzi, przyrody i krajobrazu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AE3B" w14:textId="1110BB0D" w:rsidR="007E5969" w:rsidRPr="00F65A9E" w:rsidRDefault="007B3808" w:rsidP="007E5969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</w:pPr>
            <w:r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 xml:space="preserve">a) </w:t>
            </w:r>
            <w:r w:rsidR="007E5969"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>tereny położone są w granicach otuliny Trójmiejskiego Parku Krajobrazowego – obowiązują</w:t>
            </w:r>
          </w:p>
          <w:p w14:paraId="6DBBD0CB" w14:textId="77777777" w:rsidR="007E5969" w:rsidRPr="00F65A9E" w:rsidRDefault="007E5969" w:rsidP="007E5969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</w:pPr>
            <w:r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>przepisy przywołane w § 4 ust. 1 pkt 1;</w:t>
            </w:r>
          </w:p>
          <w:p w14:paraId="5945E0E6" w14:textId="77777777" w:rsidR="007E5969" w:rsidRPr="00F65A9E" w:rsidRDefault="007E5969" w:rsidP="007E5969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</w:pPr>
            <w:r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>b) pod względem dopuszczalnego poziomu hałasu tereny zalicza się do terenów zabudowy</w:t>
            </w:r>
          </w:p>
          <w:p w14:paraId="68D1B9C9" w14:textId="77777777" w:rsidR="007E5969" w:rsidRPr="00F65A9E" w:rsidRDefault="007E5969" w:rsidP="007E5969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</w:pPr>
            <w:r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>mieszkaniowej jednorodzinnej, z wyjątkiem strefy dopuszczalnej lokalizacji usług, którą zalicza</w:t>
            </w:r>
          </w:p>
          <w:p w14:paraId="50D132E1" w14:textId="77777777" w:rsidR="007E5969" w:rsidRPr="00F65A9E" w:rsidRDefault="007E5969" w:rsidP="007E5969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</w:pPr>
            <w:r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>się do terenów mieszkaniowo-usługowych;</w:t>
            </w:r>
          </w:p>
          <w:p w14:paraId="0499B9EF" w14:textId="32BBEE57" w:rsidR="00B7317C" w:rsidRPr="00F65A9E" w:rsidRDefault="007E5969" w:rsidP="00B731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>c) wzdłuż ulicy 1</w:t>
            </w:r>
            <w:r w:rsidR="006540CB"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>69</w:t>
            </w:r>
            <w:r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 xml:space="preserve"> KD-Z 1/2</w:t>
            </w:r>
            <w:r w:rsidR="00251312"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>/KD-Z 2/2</w:t>
            </w:r>
            <w:r w:rsidR="00B7317C"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 xml:space="preserve"> ul. Jana Nowaka Jeziorańskiego oraz wzdłuż ulicy</w:t>
            </w:r>
            <w:r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 xml:space="preserve"> </w:t>
            </w:r>
            <w:r w:rsidR="00314A32"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 xml:space="preserve">170 KD-Z 1/2 ul. Wiczlińskiej </w:t>
            </w:r>
            <w:r w:rsidR="00E20A27" w:rsidRPr="00F65A9E">
              <w:rPr>
                <w:rFonts w:asciiTheme="minorHAnsi" w:eastAsiaTheme="minorEastAsia" w:hAnsiTheme="minorHAnsi" w:cstheme="minorHAnsi"/>
                <w:color w:val="auto"/>
                <w:kern w:val="0"/>
                <w:sz w:val="20"/>
                <w:szCs w:val="20"/>
              </w:rPr>
              <w:t>występują lub mogą występować przekroczenia dopuszczalnego poziomu hałasu dla terenów mieszkalno-usługowych</w:t>
            </w:r>
          </w:p>
          <w:p w14:paraId="7C4F5370" w14:textId="6A053E89" w:rsidR="00BD0628" w:rsidRPr="0026247B" w:rsidRDefault="00BD0628" w:rsidP="007E5969">
            <w:pPr>
              <w:ind w:left="4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BD0628" w:rsidRPr="00FF3E4A" w14:paraId="4EEB865A" w14:textId="77777777" w:rsidTr="00286F4D">
        <w:trPr>
          <w:trHeight w:val="1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C643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E2E3" w14:textId="77777777" w:rsidR="00BD0628" w:rsidRPr="00FF3E4A" w:rsidRDefault="00D203BD">
            <w:pPr>
              <w:ind w:left="2" w:right="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Wymagania dotyczące zabudowy i zagospodarowania terenu położonego na obszarach szczególnego zagrożenia powodzią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98503B2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C8DF77F" w14:textId="77777777" w:rsidR="00BD0628" w:rsidRPr="00FF3E4A" w:rsidRDefault="00D203BD">
      <w:pPr>
        <w:spacing w:after="8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trike/>
          <w:sz w:val="20"/>
          <w:szCs w:val="20"/>
        </w:rPr>
        <w:t xml:space="preserve">                                                         </w:t>
      </w: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D5CA3F2" w14:textId="77777777" w:rsidR="00BD0628" w:rsidRPr="00FF3E4A" w:rsidRDefault="00D203BD">
      <w:pPr>
        <w:numPr>
          <w:ilvl w:val="0"/>
          <w:numId w:val="2"/>
        </w:numPr>
        <w:spacing w:after="57" w:line="260" w:lineRule="auto"/>
        <w:ind w:hanging="281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W szczególności obiekty generujące uciążliwości zapachowe, hałasowe, świetlne. </w:t>
      </w:r>
    </w:p>
    <w:p w14:paraId="560A4877" w14:textId="77777777" w:rsidR="00BD0628" w:rsidRPr="00FF3E4A" w:rsidRDefault="00D203BD">
      <w:pPr>
        <w:numPr>
          <w:ilvl w:val="0"/>
          <w:numId w:val="2"/>
        </w:numPr>
        <w:spacing w:after="4" w:line="260" w:lineRule="auto"/>
        <w:ind w:hanging="281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Akty prawne (rozporządzenia, zarządzenia, uchwały, decyzje) w sprawie: </w:t>
      </w:r>
    </w:p>
    <w:p w14:paraId="638AD6FE" w14:textId="77777777" w:rsidR="00BD0628" w:rsidRPr="00FF3E4A" w:rsidRDefault="00D203BD">
      <w:pPr>
        <w:numPr>
          <w:ilvl w:val="1"/>
          <w:numId w:val="2"/>
        </w:numPr>
        <w:spacing w:after="4" w:line="248" w:lineRule="auto"/>
        <w:ind w:hanging="283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dokonania rezerwacji obszaru inwestycji (Centralny Port Komunikacyjny), </w:t>
      </w:r>
    </w:p>
    <w:p w14:paraId="6066BF57" w14:textId="77777777" w:rsidR="00BD0628" w:rsidRPr="00FF3E4A" w:rsidRDefault="00D203BD">
      <w:pPr>
        <w:numPr>
          <w:ilvl w:val="1"/>
          <w:numId w:val="2"/>
        </w:numPr>
        <w:spacing w:after="4" w:line="248" w:lineRule="auto"/>
        <w:ind w:hanging="283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lokalizacji inwestycji mieszkaniowej lub inwestycji towarzyszącej, </w:t>
      </w:r>
    </w:p>
    <w:p w14:paraId="60C74A1D" w14:textId="77777777" w:rsidR="00BD0628" w:rsidRPr="00FF3E4A" w:rsidRDefault="00D203BD">
      <w:pPr>
        <w:numPr>
          <w:ilvl w:val="1"/>
          <w:numId w:val="2"/>
        </w:numPr>
        <w:spacing w:after="4" w:line="248" w:lineRule="auto"/>
        <w:ind w:hanging="283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ustanowienia form ochrony przyrody lub ich otulin (parku narodowego, rezerwatu przyrody, parku krajobrazowego, obszaru chronionego krajobrazu, obszaru Natura 2000, pomnika przyrody, stanowiska dokumentacyjnego, użytku ekologicznego, zespołu przyrodniczo-krajobrazowego, ochrony gatunkowej roślin, zwierząt i grzybów), </w:t>
      </w:r>
    </w:p>
    <w:p w14:paraId="58732EBF" w14:textId="77777777" w:rsidR="00BD0628" w:rsidRPr="00FF3E4A" w:rsidRDefault="00D203BD">
      <w:pPr>
        <w:numPr>
          <w:ilvl w:val="1"/>
          <w:numId w:val="2"/>
        </w:numPr>
        <w:spacing w:after="4" w:line="248" w:lineRule="auto"/>
        <w:ind w:hanging="283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ustanowienia strefy ochronnej terenu ochrony bezpośredniej i terenu ochrony pośredniej ujęcia wody, </w:t>
      </w:r>
    </w:p>
    <w:p w14:paraId="55D54B06" w14:textId="77777777" w:rsidR="00BD0628" w:rsidRPr="00FF3E4A" w:rsidRDefault="00D203BD">
      <w:pPr>
        <w:numPr>
          <w:ilvl w:val="1"/>
          <w:numId w:val="2"/>
        </w:numPr>
        <w:spacing w:after="4" w:line="248" w:lineRule="auto"/>
        <w:ind w:hanging="283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wyznaczenia obszarów cichych w aglomeracji lub obszarów cichych poza aglomeracją, </w:t>
      </w:r>
    </w:p>
    <w:p w14:paraId="72AC05C2" w14:textId="77777777" w:rsidR="00BD0628" w:rsidRPr="00FF3E4A" w:rsidRDefault="00D203BD">
      <w:pPr>
        <w:numPr>
          <w:ilvl w:val="1"/>
          <w:numId w:val="2"/>
        </w:numPr>
        <w:spacing w:after="4" w:line="248" w:lineRule="auto"/>
        <w:ind w:hanging="283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utworzenia obszaru ograniczonego użytkowania, </w:t>
      </w:r>
    </w:p>
    <w:p w14:paraId="4C65E8D9" w14:textId="77777777" w:rsidR="00BD0628" w:rsidRPr="00FF3E4A" w:rsidRDefault="00D203BD">
      <w:pPr>
        <w:numPr>
          <w:ilvl w:val="1"/>
          <w:numId w:val="2"/>
        </w:numPr>
        <w:spacing w:after="4" w:line="248" w:lineRule="auto"/>
        <w:ind w:hanging="283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uznania zabytku za pomnik historii, </w:t>
      </w:r>
    </w:p>
    <w:p w14:paraId="7CA2B2F5" w14:textId="77777777" w:rsidR="00BD0628" w:rsidRPr="00FF3E4A" w:rsidRDefault="00D203BD">
      <w:pPr>
        <w:numPr>
          <w:ilvl w:val="1"/>
          <w:numId w:val="2"/>
        </w:numPr>
        <w:spacing w:after="4" w:line="248" w:lineRule="auto"/>
        <w:ind w:hanging="283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określenia granic obszaru Pomnika Zagłady i jego strefy ochronnej, utworzenia parku kulturowego, </w:t>
      </w:r>
    </w:p>
    <w:p w14:paraId="08B850F3" w14:textId="77777777" w:rsidR="00BD0628" w:rsidRPr="00FF3E4A" w:rsidRDefault="00D203BD">
      <w:pPr>
        <w:numPr>
          <w:ilvl w:val="1"/>
          <w:numId w:val="2"/>
        </w:numPr>
        <w:spacing w:after="4" w:line="248" w:lineRule="auto"/>
        <w:ind w:hanging="283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lastRenderedPageBreak/>
        <w:t xml:space="preserve">ustalenia zasad i warunków sytuowania obiektów małej architektury, tablic reklamowych i urządzeń reklamowych oraz ogrodzeń, ich gabarytów, standardów jakościowych oraz rodzajów materiałów budowlanych. </w:t>
      </w:r>
    </w:p>
    <w:p w14:paraId="22063C24" w14:textId="77777777" w:rsidR="00BD0628" w:rsidRPr="00FF3E4A" w:rsidRDefault="00BD0628">
      <w:pPr>
        <w:spacing w:after="0"/>
        <w:ind w:left="-1020" w:right="10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530" w:type="dxa"/>
        <w:tblInd w:w="137" w:type="dxa"/>
        <w:tblLayout w:type="fixed"/>
        <w:tblCellMar>
          <w:top w:w="47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12"/>
        <w:gridCol w:w="3107"/>
        <w:gridCol w:w="57"/>
        <w:gridCol w:w="4053"/>
        <w:gridCol w:w="33"/>
      </w:tblGrid>
      <w:tr w:rsidR="00BD0628" w:rsidRPr="00FF3E4A" w14:paraId="0D09D71D" w14:textId="77777777" w:rsidTr="00DB554D">
        <w:trPr>
          <w:trHeight w:val="988"/>
        </w:trPr>
        <w:tc>
          <w:tcPr>
            <w:tcW w:w="2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14:paraId="643DFDF4" w14:textId="77777777" w:rsidR="00BD0628" w:rsidRPr="007B3808" w:rsidRDefault="00BD0628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616B" w14:textId="77777777" w:rsidR="00BD0628" w:rsidRPr="007B3808" w:rsidRDefault="00D203BD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Warunki ochrony dziedzictwa kulturowego i zabytków oraz dóbr kultury współczesnej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4E" w14:textId="7E483164" w:rsidR="00BD0628" w:rsidRPr="007B3808" w:rsidRDefault="00BD0628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174DBBFD" w14:textId="77777777" w:rsidTr="00DB554D">
        <w:trPr>
          <w:trHeight w:val="1216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8E3AB7" w14:textId="77777777" w:rsidR="00BD0628" w:rsidRPr="007B3808" w:rsidRDefault="00BD0628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6DBF" w14:textId="77777777" w:rsidR="00BD0628" w:rsidRPr="007B3808" w:rsidRDefault="00D203BD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Wymagania dotyczące ochrony innych terenów lub obiektów podlegających ochronie na podstawie przepisów odrębnych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1D22E7A" w14:textId="77777777" w:rsidR="00BD0628" w:rsidRPr="007B3808" w:rsidRDefault="00D203BD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2E3DF46E" w14:textId="77777777" w:rsidTr="00DB554D">
        <w:trPr>
          <w:trHeight w:val="760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C319F32" w14:textId="77777777" w:rsidR="00BD0628" w:rsidRPr="007B3808" w:rsidRDefault="00BD0628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032D" w14:textId="77777777" w:rsidR="00BD0628" w:rsidRPr="007B3808" w:rsidRDefault="00D203BD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Warunki i szczegółowe zasady obsługi w zakresie komunikacji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56C3" w14:textId="084E38BB" w:rsidR="004873E4" w:rsidRPr="007B3808" w:rsidRDefault="00D203BD" w:rsidP="004873E4">
            <w:pPr>
              <w:autoSpaceDE w:val="0"/>
              <w:autoSpaceDN w:val="0"/>
              <w:adjustRightInd w:val="0"/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D17B2"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t>do terenu 0</w:t>
            </w:r>
            <w:r w:rsidR="004873E4">
              <w:rPr>
                <w:rFonts w:asciiTheme="minorHAnsi" w:eastAsia="Times New Roman" w:hAnsiTheme="minorHAnsi" w:cstheme="minorHAnsi"/>
                <w:sz w:val="20"/>
                <w:szCs w:val="20"/>
              </w:rPr>
              <w:t>75 MW1, MN1</w:t>
            </w:r>
            <w:r w:rsidR="005D73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do dróg 178 KD-L 1/2 – ul. Kapitana Mamerta Stankiewicza</w:t>
            </w:r>
            <w:r w:rsidR="00CB11B9">
              <w:rPr>
                <w:rFonts w:asciiTheme="minorHAnsi" w:eastAsia="Times New Roman" w:hAnsiTheme="minorHAnsi" w:cstheme="minorHAnsi"/>
                <w:sz w:val="20"/>
                <w:szCs w:val="20"/>
              </w:rPr>
              <w:t>, 181 KD-L</w:t>
            </w:r>
            <w:r w:rsidR="008B66C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½, 221 KD-D 1/2 ul. Kapitana Z. Pie</w:t>
            </w:r>
            <w:r w:rsidR="000B01E7">
              <w:rPr>
                <w:rFonts w:asciiTheme="minorHAnsi" w:eastAsia="Times New Roman" w:hAnsiTheme="minorHAnsi" w:cstheme="minorHAnsi"/>
                <w:sz w:val="20"/>
                <w:szCs w:val="20"/>
              </w:rPr>
              <w:t>ńkawy, 271-273 KDW.</w:t>
            </w:r>
          </w:p>
          <w:p w14:paraId="5947B029" w14:textId="0E6E0751" w:rsidR="00BD0628" w:rsidRPr="007B3808" w:rsidRDefault="00BD0628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1931CA3B" w14:textId="77777777" w:rsidTr="00DB554D">
        <w:trPr>
          <w:trHeight w:val="75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EA25" w14:textId="77777777" w:rsidR="00BD0628" w:rsidRPr="007B3808" w:rsidRDefault="00BD0628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3A2C" w14:textId="1DA9E931" w:rsidR="00BD0628" w:rsidRPr="007B3808" w:rsidRDefault="00D203BD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Warunki i szczegółowe zasady obsługi w zakresie infrastruktury technicznej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94AF" w14:textId="32882D99" w:rsidR="00BD0628" w:rsidRPr="007B3808" w:rsidRDefault="00D203BD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B6538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Brak/nie dotyczy</w:t>
            </w:r>
          </w:p>
        </w:tc>
      </w:tr>
      <w:tr w:rsidR="00BD0628" w:rsidRPr="00FF3E4A" w14:paraId="58703A9A" w14:textId="77777777" w:rsidTr="00DB554D">
        <w:trPr>
          <w:trHeight w:val="529"/>
        </w:trPr>
        <w:tc>
          <w:tcPr>
            <w:tcW w:w="2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627E5F1" w14:textId="77777777" w:rsidR="00BD0628" w:rsidRPr="007B3808" w:rsidRDefault="00D203BD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Ustalenia obowiązującego miejscowego planu zagospodarowania </w:t>
            </w:r>
          </w:p>
          <w:p w14:paraId="63AD2458" w14:textId="77777777" w:rsidR="00BD0628" w:rsidRPr="007B3808" w:rsidRDefault="00D203BD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przestrzennego dla działek lub ich fragmentów, znajdujących się w odległości do 100 m od granicy terenu objętego przedsięwzięciem deweloperskim lub zadaniem inwestycyjnym</w:t>
            </w:r>
            <w:r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footnoteReference w:id="3"/>
            </w:r>
            <w:r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1CFD" w14:textId="77777777" w:rsidR="00BD0628" w:rsidRPr="007B3808" w:rsidRDefault="00D203BD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Przeznaczenie terenu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C14B" w14:textId="4FDE9DD5" w:rsidR="00BD0628" w:rsidRPr="007B3808" w:rsidRDefault="009A0407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t>MPZP 0</w:t>
            </w:r>
            <w:r w:rsidR="000B01E7">
              <w:rPr>
                <w:rFonts w:asciiTheme="minorHAnsi" w:eastAsia="Times New Roman" w:hAnsiTheme="minorHAnsi" w:cstheme="minorHAnsi"/>
                <w:sz w:val="20"/>
                <w:szCs w:val="20"/>
              </w:rPr>
              <w:t>71</w:t>
            </w:r>
            <w:r w:rsidR="0001207A">
              <w:rPr>
                <w:rFonts w:asciiTheme="minorHAnsi" w:eastAsia="Times New Roman" w:hAnsiTheme="minorHAnsi" w:cstheme="minorHAnsi"/>
                <w:sz w:val="20"/>
                <w:szCs w:val="20"/>
              </w:rPr>
              <w:t>-079</w:t>
            </w:r>
            <w:r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MW1, MN</w:t>
            </w:r>
            <w:r w:rsidR="0001207A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  <w:r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zabudowa wielorodzinna w budynkach zawierających do 4 mieszkań, zabudowa jednorodzinna wolnostojąca</w:t>
            </w:r>
          </w:p>
        </w:tc>
      </w:tr>
      <w:tr w:rsidR="00BD0628" w:rsidRPr="00FF3E4A" w14:paraId="574CDFC3" w14:textId="77777777" w:rsidTr="00DB554D">
        <w:trPr>
          <w:trHeight w:val="75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51669" w14:textId="77777777" w:rsidR="00BD0628" w:rsidRPr="007B3808" w:rsidRDefault="00BD0628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ACA2" w14:textId="1FC512F1" w:rsidR="00BD0628" w:rsidRPr="007B3808" w:rsidRDefault="00D203BD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Maksymalna intensywność zabudowy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F9DB" w14:textId="77777777" w:rsidR="00D7106A" w:rsidRPr="007B3808" w:rsidRDefault="00D203BD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7106A"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t>Dla zabudowy jednorodzinnej wolnostojącej – do 1,0</w:t>
            </w:r>
          </w:p>
          <w:p w14:paraId="7484B687" w14:textId="77777777" w:rsidR="00D7106A" w:rsidRPr="007B3808" w:rsidRDefault="00D7106A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Dla zabudowy wielorodzinnej – do 1,2 </w:t>
            </w:r>
          </w:p>
          <w:p w14:paraId="4E20B1AC" w14:textId="225B5C78" w:rsidR="00BD0628" w:rsidRPr="007B3808" w:rsidRDefault="00BD0628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767A4" w:rsidRPr="00FF3E4A" w14:paraId="45C62EAC" w14:textId="77777777" w:rsidTr="00DB554D">
        <w:trPr>
          <w:trHeight w:val="310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1123C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954BD4" w14:textId="1AB7181A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t>Maksymalna i minimalna nadziemna intensywność zabudowy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AD3EF" w14:textId="77777777" w:rsidR="006767A4" w:rsidRPr="00FF3E4A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E8B0185" w14:textId="759A5868" w:rsidR="006767A4" w:rsidRPr="007B3808" w:rsidRDefault="007C01D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t>Brak</w:t>
            </w:r>
          </w:p>
        </w:tc>
      </w:tr>
      <w:tr w:rsidR="006767A4" w:rsidRPr="00FF3E4A" w14:paraId="3AC1BA0E" w14:textId="77777777" w:rsidTr="00DB554D">
        <w:trPr>
          <w:trHeight w:val="300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ABD17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F7818F" w14:textId="6EC04CF2" w:rsidR="006767A4" w:rsidRPr="00FF3E4A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Maksymalna powierzchnia zabudowy</w:t>
            </w:r>
          </w:p>
          <w:p w14:paraId="3AA4DA85" w14:textId="722953A0" w:rsidR="006767A4" w:rsidRPr="00FF3E4A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FD02D1" w14:textId="7565948F" w:rsidR="006767A4" w:rsidRPr="00FF3E4A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01D4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Brak</w:t>
            </w:r>
          </w:p>
          <w:p w14:paraId="615FFEE0" w14:textId="4AB533C6" w:rsidR="006767A4" w:rsidRPr="00FF3E4A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767A4" w:rsidRPr="00FF3E4A" w14:paraId="3D3D4B6C" w14:textId="77777777" w:rsidTr="00DB554D">
        <w:trPr>
          <w:trHeight w:val="430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84209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2D6A" w14:textId="77777777" w:rsidR="006767A4" w:rsidRPr="00FF3E4A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Maksymalna wysokość zabudowy 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DC54" w14:textId="56CE0ACF" w:rsidR="006767A4" w:rsidRPr="00FF3E4A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t>do 12 m i 3 kondygnacji</w:t>
            </w:r>
          </w:p>
        </w:tc>
      </w:tr>
      <w:tr w:rsidR="006767A4" w:rsidRPr="00FF3E4A" w14:paraId="12D69438" w14:textId="77777777" w:rsidTr="00DB554D">
        <w:trPr>
          <w:trHeight w:val="75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F950C7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C966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Minimalny udział procentowy powierzchni biologicznie czynnej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FF23" w14:textId="3963CB8C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t>35% powierzchni działki</w:t>
            </w:r>
          </w:p>
        </w:tc>
      </w:tr>
      <w:tr w:rsidR="006767A4" w:rsidRPr="00FF3E4A" w14:paraId="57FFE2E7" w14:textId="77777777" w:rsidTr="00DB554D">
        <w:trPr>
          <w:trHeight w:val="52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EC27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7CC5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Minimalna liczba miejsc do parkowania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5AEB" w14:textId="63D66908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7B38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1,5 miejsca na lokal </w:t>
            </w:r>
          </w:p>
        </w:tc>
      </w:tr>
      <w:tr w:rsidR="006767A4" w:rsidRPr="00FF3E4A" w14:paraId="404591C1" w14:textId="77777777" w:rsidTr="00DB554D">
        <w:trPr>
          <w:trHeight w:val="700"/>
        </w:trPr>
        <w:tc>
          <w:tcPr>
            <w:tcW w:w="2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EB0A9BD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Ustalenia decyzji o warunkach zabudowy albo decyzji o ustaleniu lokalizacji inwestycji celu publicznego dla terenu objętego przedsięwzięciem deweloperskim lub zadaniem inwestycyjnym w przypadku braku miejscowego planu zagospodarowania przestrzennego 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E546" w14:textId="1873D196" w:rsidR="006767A4" w:rsidRPr="007B3808" w:rsidRDefault="006767A4" w:rsidP="007B3808">
            <w:pPr>
              <w:spacing w:after="126"/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Funkcja zabudowy i zagospodarowania terenu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F57D" w14:textId="2E3C14AC" w:rsidR="006767A4" w:rsidRPr="007B3808" w:rsidRDefault="006767A4" w:rsidP="007B3808">
            <w:pPr>
              <w:spacing w:after="126"/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Sposób użytkowania obiektów budowlanych oraz zagospodarowania terenu </w:t>
            </w:r>
          </w:p>
        </w:tc>
      </w:tr>
      <w:tr w:rsidR="006767A4" w:rsidRPr="00FF3E4A" w14:paraId="05C85EB0" w14:textId="77777777" w:rsidTr="00DB554D">
        <w:trPr>
          <w:trHeight w:val="52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56EAE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F3AF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Cechy zabudowy i zagospodarowania terenu: </w:t>
            </w:r>
          </w:p>
        </w:tc>
      </w:tr>
      <w:tr w:rsidR="006767A4" w:rsidRPr="00FF3E4A" w14:paraId="615C7902" w14:textId="77777777" w:rsidTr="00DB554D">
        <w:trPr>
          <w:trHeight w:val="52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E53ECE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5FDE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gabaryty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315AB61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767A4" w:rsidRPr="00FF3E4A" w14:paraId="5FAAC160" w14:textId="77777777" w:rsidTr="00DB554D">
        <w:trPr>
          <w:trHeight w:val="52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B3A96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5CE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forma architektoniczna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1A057D75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767A4" w:rsidRPr="00FF3E4A" w14:paraId="5804D577" w14:textId="77777777" w:rsidTr="00DB554D">
        <w:trPr>
          <w:trHeight w:val="52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971D8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2983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usytuowanie linii zabudowy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642495A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767A4" w:rsidRPr="00FF3E4A" w14:paraId="655B83A8" w14:textId="77777777" w:rsidTr="00DB554D">
        <w:trPr>
          <w:trHeight w:val="529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E12EB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8F4D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intensywność wykorzystania terenu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C8E2CDA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767A4" w:rsidRPr="00FF3E4A" w14:paraId="1690CEF7" w14:textId="77777777" w:rsidTr="00DB554D">
        <w:trPr>
          <w:trHeight w:val="75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6A36B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FC1C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warunki ochrony środowiska i zdrowia ludzi, przyrody i krajobrazu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79FBFE1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767A4" w:rsidRPr="00FF3E4A" w14:paraId="1C2D344B" w14:textId="77777777" w:rsidTr="00DB554D">
        <w:trPr>
          <w:trHeight w:val="1216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45C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33F7" w14:textId="24901251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wymagania dotyczące zabudowy i zagospodarowania terenu położonego na obszarach szczególnego zagrożenia powodzią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46C5CB4" w14:textId="77777777" w:rsidR="006767A4" w:rsidRPr="007B3808" w:rsidRDefault="006767A4" w:rsidP="007B3808">
            <w:pPr>
              <w:ind w:left="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5876AA49" w14:textId="77777777" w:rsidTr="00DB554D">
        <w:tblPrEx>
          <w:tblCellMar>
            <w:top w:w="59" w:type="dxa"/>
          </w:tblCellMar>
        </w:tblPrEx>
        <w:trPr>
          <w:trHeight w:val="988"/>
        </w:trPr>
        <w:tc>
          <w:tcPr>
            <w:tcW w:w="2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14:paraId="4CE65D29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D226" w14:textId="77777777" w:rsidR="00BD0628" w:rsidRPr="00FF3E4A" w:rsidRDefault="00D203BD">
            <w:pPr>
              <w:ind w:left="2" w:right="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warunki ochrony dziedzictwa kulturowego i zabytków oraz dóbr kultury współczesnej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ADAD6FF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212F9F14" w14:textId="77777777" w:rsidTr="00DB554D">
        <w:tblPrEx>
          <w:tblCellMar>
            <w:top w:w="59" w:type="dxa"/>
          </w:tblCellMar>
        </w:tblPrEx>
        <w:trPr>
          <w:trHeight w:val="1216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6F8E75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F379" w14:textId="77777777" w:rsidR="00BD0628" w:rsidRPr="00FF3E4A" w:rsidRDefault="00D203BD">
            <w:pPr>
              <w:ind w:left="2" w:right="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wymagania dotyczące ochrony innych terenów lub obiektów podlegających ochronie na podstawie przepisów odrębnych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F61420D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767A4" w:rsidRPr="00FF3E4A" w14:paraId="661DFECC" w14:textId="77777777" w:rsidTr="00DB554D">
        <w:tblPrEx>
          <w:tblCellMar>
            <w:top w:w="59" w:type="dxa"/>
          </w:tblCellMar>
        </w:tblPrEx>
        <w:trPr>
          <w:trHeight w:val="760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AF67824" w14:textId="77777777" w:rsidR="006767A4" w:rsidRPr="00FF3E4A" w:rsidRDefault="006767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C78F" w14:textId="77777777" w:rsidR="006767A4" w:rsidRPr="00FF3E4A" w:rsidRDefault="006767A4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warunki i szczegółowe zasady obsługi w zakresie komunikacji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DD3818D" w14:textId="77777777" w:rsidR="006767A4" w:rsidRPr="00FF3E4A" w:rsidRDefault="006767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767A4" w:rsidRPr="00FF3E4A" w14:paraId="6D731587" w14:textId="77777777" w:rsidTr="00DB554D">
        <w:tblPrEx>
          <w:tblCellMar>
            <w:top w:w="59" w:type="dxa"/>
          </w:tblCellMar>
        </w:tblPrEx>
        <w:trPr>
          <w:trHeight w:val="1340"/>
        </w:trPr>
        <w:tc>
          <w:tcPr>
            <w:tcW w:w="22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4CCA0" w14:textId="77777777" w:rsidR="006767A4" w:rsidRPr="00FF3E4A" w:rsidRDefault="006767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EADAE9" w14:textId="77777777" w:rsidR="006767A4" w:rsidRPr="00FF3E4A" w:rsidRDefault="006767A4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warunki i szczegółowe zasady obsługi w zakresie infrastruktury technicznej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B769EEB" w14:textId="77777777" w:rsidR="006767A4" w:rsidRPr="00FF3E4A" w:rsidRDefault="006767A4">
            <w:pPr>
              <w:ind w:left="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985A09C" w14:textId="77777777" w:rsidR="006767A4" w:rsidRPr="00FF3E4A" w:rsidRDefault="006767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AE747F" w14:textId="77777777" w:rsidR="006767A4" w:rsidRPr="00FF3E4A" w:rsidRDefault="006767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FD9486" w14:textId="77777777" w:rsidR="006767A4" w:rsidRPr="00FF3E4A" w:rsidRDefault="006767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328FC6" w14:textId="77777777" w:rsidR="006767A4" w:rsidRPr="00FF3E4A" w:rsidRDefault="006767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CECBF" w14:textId="77777777" w:rsidR="006767A4" w:rsidRPr="00FF3E4A" w:rsidRDefault="006767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67A4" w:rsidRPr="00FF3E4A" w14:paraId="76BBA4BB" w14:textId="77777777" w:rsidTr="00DB554D">
        <w:tblPrEx>
          <w:tblCellMar>
            <w:top w:w="59" w:type="dxa"/>
          </w:tblCellMar>
        </w:tblPrEx>
        <w:trPr>
          <w:trHeight w:val="300"/>
        </w:trPr>
        <w:tc>
          <w:tcPr>
            <w:tcW w:w="22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543E3" w14:textId="77777777" w:rsidR="006767A4" w:rsidRPr="00FF3E4A" w:rsidRDefault="006767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A251F" w14:textId="6326FCCE" w:rsidR="006767A4" w:rsidRPr="00FF3E4A" w:rsidRDefault="006767A4" w:rsidP="006767A4">
            <w:pPr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Minimalny udział procentowy powierzchni biologicznie czynnej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2FEDEF1" w14:textId="77777777" w:rsidR="006767A4" w:rsidRPr="00FF3E4A" w:rsidRDefault="006767A4" w:rsidP="006767A4">
            <w:pPr>
              <w:ind w:left="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767A4" w:rsidRPr="00FF3E4A" w14:paraId="5F49193D" w14:textId="77777777" w:rsidTr="00DB554D">
        <w:tblPrEx>
          <w:tblCellMar>
            <w:top w:w="59" w:type="dxa"/>
          </w:tblCellMar>
        </w:tblPrEx>
        <w:trPr>
          <w:trHeight w:val="170"/>
        </w:trPr>
        <w:tc>
          <w:tcPr>
            <w:tcW w:w="22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FC972" w14:textId="77777777" w:rsidR="006767A4" w:rsidRPr="00FF3E4A" w:rsidRDefault="006767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FE929" w14:textId="780A801B" w:rsidR="006767A4" w:rsidRPr="00FF3E4A" w:rsidRDefault="006767A4" w:rsidP="006767A4">
            <w:pPr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Nadziemna intensywność zabudowy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880C66D" w14:textId="77777777" w:rsidR="006767A4" w:rsidRPr="00FF3E4A" w:rsidRDefault="006767A4" w:rsidP="006767A4">
            <w:pPr>
              <w:ind w:left="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767A4" w:rsidRPr="00FF3E4A" w14:paraId="543801C9" w14:textId="77777777" w:rsidTr="00DB554D">
        <w:tblPrEx>
          <w:tblCellMar>
            <w:top w:w="59" w:type="dxa"/>
          </w:tblCellMar>
        </w:tblPrEx>
        <w:trPr>
          <w:trHeight w:val="190"/>
        </w:trPr>
        <w:tc>
          <w:tcPr>
            <w:tcW w:w="22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10FE" w14:textId="77777777" w:rsidR="006767A4" w:rsidRPr="00FF3E4A" w:rsidRDefault="006767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9F49" w14:textId="239D5D7F" w:rsidR="006767A4" w:rsidRPr="00FF3E4A" w:rsidRDefault="006767A4" w:rsidP="006767A4">
            <w:pPr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Wysokość zabudowy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836AA82" w14:textId="77777777" w:rsidR="006767A4" w:rsidRPr="00FF3E4A" w:rsidRDefault="006767A4" w:rsidP="006767A4">
            <w:pPr>
              <w:ind w:left="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0423E03E" w14:textId="77777777" w:rsidTr="00DB554D">
        <w:tblPrEx>
          <w:tblCellMar>
            <w:top w:w="59" w:type="dxa"/>
          </w:tblCellMar>
        </w:tblPrEx>
        <w:trPr>
          <w:trHeight w:val="759"/>
        </w:trPr>
        <w:tc>
          <w:tcPr>
            <w:tcW w:w="2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30DDA72" w14:textId="77777777" w:rsidR="00BD0628" w:rsidRPr="00FF3E4A" w:rsidRDefault="00D203BD">
            <w:pPr>
              <w:spacing w:after="185"/>
              <w:ind w:right="30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Informacje dotyczące przewidzianych inwestycji w promieniu 1 km od terenu objętego przedsięwzięciem deweloperskim lub zadaniem inwestycyjnym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footnoteReference w:id="4"/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>)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zawarte w: </w:t>
            </w:r>
          </w:p>
          <w:p w14:paraId="758231BC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EFE9" w14:textId="77777777" w:rsidR="00BD0628" w:rsidRPr="00FF3E4A" w:rsidRDefault="00D203B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miejscowych planach zagospodarowania przestrzennego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85CE" w14:textId="6CD9D678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B6538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UCHWAŁA NR XXXIII/835/17 RADY MIASTA GDYNI z dnia 28 czerwca 2017 r. w sprawie uchwalenia miejscowego planu zagospodarowania przestrzennego części dzielnicy Chwarzno - Wiczlino w Gdyni, rejonu ulic Wiczlińskiej, Chwarznieńskiej i A. Krauzego.( Opublikowano w Dzienniku Urzędowym Województwa Pomorskiego z dnia 11 sierpnia 2017 r., poz. 2981 (DZ. URZ. WOJ. 2017.2981)</w:t>
            </w:r>
          </w:p>
        </w:tc>
      </w:tr>
      <w:tr w:rsidR="00BD0628" w:rsidRPr="00FF3E4A" w14:paraId="0E9DD5EB" w14:textId="77777777" w:rsidTr="00DB554D">
        <w:tblPrEx>
          <w:tblCellMar>
            <w:top w:w="59" w:type="dxa"/>
          </w:tblCellMar>
        </w:tblPrEx>
        <w:trPr>
          <w:trHeight w:val="52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36EE7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74CC" w14:textId="77777777" w:rsidR="00BD0628" w:rsidRPr="00FF3E4A" w:rsidRDefault="00D203BD">
            <w:pPr>
              <w:ind w:left="2" w:right="406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decyzjach o warunkach zabudowy i zagospodarowania terenu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687B0FE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D0628" w:rsidRPr="00FF3E4A" w14:paraId="28E5EEB6" w14:textId="77777777" w:rsidTr="00DB554D">
        <w:tblPrEx>
          <w:tblCellMar>
            <w:top w:w="59" w:type="dxa"/>
          </w:tblCellMar>
        </w:tblPrEx>
        <w:trPr>
          <w:trHeight w:val="75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46373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0CC5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decyzjach o środowiskowych uwarunkowaniach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ADE9ACF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521C23FC" w14:textId="77777777" w:rsidTr="00DB554D">
        <w:tblPrEx>
          <w:tblCellMar>
            <w:top w:w="59" w:type="dxa"/>
          </w:tblCellMar>
        </w:tblPrEx>
        <w:trPr>
          <w:trHeight w:val="756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38B18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DC6D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uchwałach o obszarach ograniczonego użytkowania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B443118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212123A8" w14:textId="77777777" w:rsidTr="00DB554D">
        <w:tblPrEx>
          <w:tblCellMar>
            <w:top w:w="59" w:type="dxa"/>
          </w:tblCellMar>
        </w:tblPrEx>
        <w:trPr>
          <w:trHeight w:val="52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9D5237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CF63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miejscowych planach odbudowy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5B8BE6C6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4B9C0FC2" w14:textId="77777777" w:rsidTr="00DB554D">
        <w:tblPrEx>
          <w:tblCellMar>
            <w:top w:w="59" w:type="dxa"/>
          </w:tblCellMar>
        </w:tblPrEx>
        <w:trPr>
          <w:trHeight w:val="75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1A2D3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345F" w14:textId="77777777" w:rsidR="00BD0628" w:rsidRPr="00FF3E4A" w:rsidRDefault="00D203B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mapach zagrożenia powodziowego i mapach ryzyka powodziowego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5D5F170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5F3BCB43" w14:textId="77777777" w:rsidTr="00DB554D">
        <w:tblPrEx>
          <w:tblCellMar>
            <w:top w:w="59" w:type="dxa"/>
          </w:tblCellMar>
        </w:tblPrEx>
        <w:trPr>
          <w:trHeight w:val="941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5568D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273A" w14:textId="77777777" w:rsidR="00BD0628" w:rsidRPr="00FF3E4A" w:rsidRDefault="00D203BD">
            <w:pPr>
              <w:ind w:left="2" w:right="5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Ustalenia decyzji w zakresie rozmieszczenia inwestycji celu publicznego, mogące mieć znaczenie dla terenu objętego przedsięwzięciem deweloperskim lub zadaniem inwestycyjnym: </w:t>
            </w:r>
          </w:p>
        </w:tc>
      </w:tr>
      <w:tr w:rsidR="00BD0628" w:rsidRPr="00FF3E4A" w14:paraId="50F45515" w14:textId="77777777" w:rsidTr="00DB554D">
        <w:tblPrEx>
          <w:tblCellMar>
            <w:top w:w="59" w:type="dxa"/>
          </w:tblCellMar>
        </w:tblPrEx>
        <w:trPr>
          <w:trHeight w:val="75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1B876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48A8" w14:textId="77777777" w:rsidR="00BD0628" w:rsidRPr="00FF3E4A" w:rsidRDefault="00D203B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decyzja o zezwoleniu na realizację inwestycji drogowej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F761AF0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48819857" w14:textId="77777777" w:rsidTr="00DB554D">
        <w:tblPrEx>
          <w:tblCellMar>
            <w:top w:w="59" w:type="dxa"/>
          </w:tblCellMar>
        </w:tblPrEx>
        <w:trPr>
          <w:trHeight w:val="757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70F60C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0805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decyzja o ustaleniu lokalizacji linii kolejowej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CEC839A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061A291B" w14:textId="77777777" w:rsidTr="00DB554D">
        <w:tblPrEx>
          <w:tblCellMar>
            <w:top w:w="59" w:type="dxa"/>
          </w:tblCellMar>
        </w:tblPrEx>
        <w:trPr>
          <w:trHeight w:val="989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E22F0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2927" w14:textId="77777777" w:rsidR="00BD0628" w:rsidRPr="00FF3E4A" w:rsidRDefault="00D203BD">
            <w:pPr>
              <w:ind w:left="2" w:right="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decyzja o zezwoleniu na realizację inwestycji w zakresie lotniska użytku publicznego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AEAA073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27202812" w14:textId="77777777" w:rsidTr="00DB554D">
        <w:tblPrEx>
          <w:tblCellMar>
            <w:top w:w="59" w:type="dxa"/>
          </w:tblCellMar>
        </w:tblPrEx>
        <w:trPr>
          <w:trHeight w:val="98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B5AB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3831" w14:textId="77777777" w:rsidR="00BD0628" w:rsidRPr="00FF3E4A" w:rsidRDefault="00D203BD">
            <w:pPr>
              <w:ind w:left="2" w:right="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decyzja o pozwoleniu na realizację inwestycji w zakresie budowli przeciwpowodziowych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10565D3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06A7EF6F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98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14:paraId="087F4AE2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8736" w14:textId="77777777" w:rsidR="00BD0628" w:rsidRPr="00FF3E4A" w:rsidRDefault="00D203BD">
            <w:pPr>
              <w:ind w:left="2" w:right="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decyzja o ustaleniu lokalizacji inwestycji w zakresie budowy obiektu energetyki jądrowej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317E48E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2D121A0A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989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9329D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A134" w14:textId="77777777" w:rsidR="00BD0628" w:rsidRPr="00FF3E4A" w:rsidRDefault="00D203BD">
            <w:pPr>
              <w:ind w:left="2" w:right="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decyzja o ustaleniu lokalizacji strategicznej inwestycji w zakresie sieci przesyłowej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C301E96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0603890F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755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DB84B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D3BD" w14:textId="77777777" w:rsidR="00BD0628" w:rsidRPr="00FF3E4A" w:rsidRDefault="00D203B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decyzja o ustaleniu lokalizacji regionalnej sieci szerokopasmowej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7AEBFDD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35DF4905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990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ADBD05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47FA" w14:textId="77777777" w:rsidR="00BD0628" w:rsidRPr="00FF3E4A" w:rsidRDefault="00D203BD">
            <w:pPr>
              <w:ind w:left="2" w:right="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decyzja o ustaleniu lokalizacji inwestycji w zakresie Centralnego Portu Komunikacyjnego 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48B0F86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6F9C559E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989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10747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0D0E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decyzja o zezwoleniu na realizację inwestycji w zakresie infrastruktury dostępowej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DDE98E5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1BA93312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988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72BA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2BCD" w14:textId="77777777" w:rsidR="00BD0628" w:rsidRPr="00FF3E4A" w:rsidRDefault="00D203BD">
            <w:pPr>
              <w:ind w:left="2" w:right="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decyzja o ustaleniu lokalizacji strategicznej inwestycji w sektorze naftowym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2D83654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6ADBDEF2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901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5190B5C" w14:textId="77777777" w:rsidR="00BD0628" w:rsidRPr="00FF3E4A" w:rsidRDefault="00D203BD">
            <w:pPr>
              <w:spacing w:after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INFORMACJE DOTYCZĄCE BUDYNKU </w:t>
            </w:r>
          </w:p>
          <w:p w14:paraId="6CD5AFBF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41EBB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6F73E647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3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004E327" w14:textId="77777777" w:rsidR="00BD0628" w:rsidRPr="00FF3E4A" w:rsidRDefault="00D203BD">
            <w:pPr>
              <w:spacing w:after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Czy jest pozwolenie na budowę </w:t>
            </w:r>
          </w:p>
          <w:p w14:paraId="268AFEC0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CC57" w14:textId="3896A681" w:rsidR="00BD0628" w:rsidRPr="00FF3E4A" w:rsidRDefault="00D203BD">
            <w:pPr>
              <w:ind w:right="4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tak</w:t>
            </w:r>
            <w:r w:rsidRPr="00FF3E4A">
              <w:rPr>
                <w:rFonts w:asciiTheme="minorHAnsi" w:eastAsia="Segoe UI Symbol" w:hAnsiTheme="minorHAnsi" w:cstheme="minorHAnsi"/>
                <w:b/>
                <w:bCs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EF1D" w14:textId="4C0D62DD" w:rsidR="00BD0628" w:rsidRPr="00FF3E4A" w:rsidRDefault="00D203BD">
            <w:pPr>
              <w:ind w:right="4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  <w:t>nie</w:t>
            </w:r>
          </w:p>
        </w:tc>
      </w:tr>
      <w:tr w:rsidR="00BD0628" w:rsidRPr="00FF3E4A" w14:paraId="57BF99D4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2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C561B37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Czy pozwolenie na budowę jest ostateczne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FCB3" w14:textId="64D31ED6" w:rsidR="00BD0628" w:rsidRPr="00FF3E4A" w:rsidRDefault="00D203BD">
            <w:pPr>
              <w:ind w:right="4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tak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3233" w14:textId="427DC756" w:rsidR="00BD0628" w:rsidRPr="00FF3E4A" w:rsidRDefault="00D203BD">
            <w:pPr>
              <w:ind w:right="4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  <w:t>nie</w:t>
            </w:r>
          </w:p>
        </w:tc>
      </w:tr>
      <w:tr w:rsidR="00BD0628" w:rsidRPr="00FF3E4A" w14:paraId="656A3FB9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C7D48E8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Czy pozwolenie na budowę jest zaskarżone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E5E4" w14:textId="14D92E4C" w:rsidR="00BD0628" w:rsidRPr="00FF3E4A" w:rsidRDefault="00A6183D">
            <w:pPr>
              <w:ind w:right="44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  <w:t>T</w:t>
            </w:r>
            <w:r w:rsidR="00D203BD" w:rsidRPr="00FF3E4A"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  <w:t>ak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2E2C" w14:textId="19331A5A" w:rsidR="00BD0628" w:rsidRPr="00FF3E4A" w:rsidRDefault="00D203BD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</w:tr>
      <w:tr w:rsidR="00BD0628" w:rsidRPr="00FF3E4A" w14:paraId="16E9B614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9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81B9238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Numer pozwolenia na budowę oraz nazwa organu, który je wydał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F53D2" w14:textId="13A02E3A" w:rsidR="00BD0628" w:rsidRPr="00FF3E4A" w:rsidRDefault="007211B4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RAAII.6740.1.</w:t>
            </w:r>
            <w:r w:rsidR="0028152A"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.202</w:t>
            </w:r>
            <w:r w:rsidR="00F2345D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 w:rsidR="00F2345D">
              <w:rPr>
                <w:rFonts w:asciiTheme="minorHAnsi" w:eastAsia="Times New Roman" w:hAnsiTheme="minorHAnsi" w:cstheme="minorHAnsi"/>
                <w:sz w:val="20"/>
                <w:szCs w:val="20"/>
              </w:rPr>
              <w:t>AZ-1281/dz.3272/1</w:t>
            </w:r>
          </w:p>
          <w:p w14:paraId="14C54B68" w14:textId="56688B81" w:rsidR="004F2552" w:rsidRPr="00FF3E4A" w:rsidRDefault="004F255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WYDANY PRZEZ PREZYDENT MIASTA GDYNI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3FA0C" w14:textId="1C32077F" w:rsidR="004F2552" w:rsidRPr="00FF3E4A" w:rsidRDefault="008A3E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>RAAII.</w:t>
            </w:r>
            <w:r w:rsidR="00E377E2" w:rsidRPr="00FF3E4A">
              <w:rPr>
                <w:rFonts w:asciiTheme="minorHAnsi" w:hAnsiTheme="minorHAnsi" w:cstheme="minorHAnsi"/>
                <w:sz w:val="20"/>
                <w:szCs w:val="20"/>
              </w:rPr>
              <w:t>6740.1.</w:t>
            </w:r>
            <w:r w:rsidR="00D76F81">
              <w:rPr>
                <w:rFonts w:asciiTheme="minorHAnsi" w:hAnsiTheme="minorHAnsi" w:cstheme="minorHAnsi"/>
                <w:sz w:val="20"/>
                <w:szCs w:val="20"/>
              </w:rPr>
              <w:t>12.2024.JS-12</w:t>
            </w:r>
            <w:r w:rsidR="00AE6DE9">
              <w:rPr>
                <w:rFonts w:asciiTheme="minorHAnsi" w:hAnsiTheme="minorHAnsi" w:cstheme="minorHAnsi"/>
                <w:sz w:val="20"/>
                <w:szCs w:val="20"/>
              </w:rPr>
              <w:t>81/dz.3272/2</w:t>
            </w:r>
          </w:p>
          <w:p w14:paraId="6FEA9F2F" w14:textId="6D04C4A0" w:rsidR="00BD0628" w:rsidRPr="00FF3E4A" w:rsidRDefault="004F25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>WYDANY PRZEZ PREZYDENT MIASTA GDYNI</w:t>
            </w:r>
            <w:r w:rsidR="00940681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</w:p>
        </w:tc>
      </w:tr>
      <w:tr w:rsidR="00BD0628" w:rsidRPr="00FF3E4A" w14:paraId="1EA48B7B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9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EFAD53D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Data uprawomocnienia się decyzji o pozwoleniu na użytkowanie budynku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352F0" w14:textId="2D82D91B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024F8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Nie dotyczy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1897F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7CE0" w:rsidRPr="00FF3E4A" w14:paraId="76B4FDF9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25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F7ED412" w14:textId="208DCA76" w:rsidR="00967CE0" w:rsidRPr="00FF3E4A" w:rsidRDefault="00E64724">
            <w:pPr>
              <w:ind w:righ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Numer zgłoszenia budowy,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cr/>
              <w:t>o której mowa w art. 29 ust. 1 pkt 1 ustawy z dnia 7 lipca 1994 r. – Prawo budowlane (Dz. U. z 2021 r. poz. 2351, z późn. zm.), oraz oznaczenie organu, do którego dokonano zgłoszenia, wraz z informacją o braku wniesienia sprzeciwu przez ten organ</w:t>
            </w:r>
            <w:r w:rsidR="00967CE0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3BC37C9" w14:textId="5E95E7E7" w:rsidR="00967CE0" w:rsidRPr="00FF3E4A" w:rsidRDefault="00967C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4EC4E603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7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8801F23" w14:textId="77777777" w:rsidR="00BD0628" w:rsidRPr="00FF3E4A" w:rsidRDefault="00D203BD">
            <w:pPr>
              <w:ind w:righ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Data zakończenia budowy domu jednorodzinnego 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r2bl w:val="single" w:sz="4" w:space="0" w:color="auto"/>
            </w:tcBorders>
          </w:tcPr>
          <w:p w14:paraId="063747ED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1CF0A25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79F7" w:rsidRPr="00FF3E4A" w14:paraId="12F6F218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4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2B8E03F" w14:textId="77777777" w:rsidR="008579F7" w:rsidRPr="00FF3E4A" w:rsidRDefault="008579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Planowany termin rozpoczęcia </w:t>
            </w:r>
          </w:p>
          <w:p w14:paraId="397FC4F4" w14:textId="77777777" w:rsidR="008579F7" w:rsidRPr="00FF3E4A" w:rsidRDefault="008579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 zakończenia robót budowlanych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E68F" w14:textId="4C6B6233" w:rsidR="008579F7" w:rsidRPr="00FF3E4A" w:rsidRDefault="008579F7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Planowany termin rozpoczęcia: </w:t>
            </w:r>
            <w:r w:rsidR="00F73AEA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  <w:r w:rsidR="0017521B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.0</w:t>
            </w:r>
            <w:r w:rsidR="0017521B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.202</w:t>
            </w:r>
            <w:r w:rsidR="0071375E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E0C67F1" w14:textId="77777777" w:rsidR="008579F7" w:rsidRDefault="008579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>Planowany termin zakończenia: 3</w:t>
            </w:r>
            <w:r w:rsidR="0005793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119D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5793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9756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119D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05793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32A9085" w14:textId="1A880C62" w:rsidR="0019756F" w:rsidRPr="00FF3E4A" w:rsidRDefault="001975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Planowany termin przeniesienia własności: 30.05.2026</w:t>
            </w:r>
          </w:p>
        </w:tc>
      </w:tr>
      <w:tr w:rsidR="00BD0628" w:rsidRPr="00FF3E4A" w14:paraId="3EA21BD1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29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6B249E8" w14:textId="77777777" w:rsidR="00BD0628" w:rsidRPr="00FF3E4A" w:rsidRDefault="00D203BD">
            <w:pPr>
              <w:spacing w:after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CA02D4" w14:textId="77777777" w:rsidR="00BD0628" w:rsidRPr="00FF3E4A" w:rsidRDefault="00D203BD">
            <w:pPr>
              <w:ind w:right="32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Opis przedsięwzięcia deweloperskiego lub zadania inwestycyjnego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45AD" w14:textId="77777777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Liczba budynków 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BC56" w14:textId="21244D5C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57933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</w:tr>
      <w:tr w:rsidR="00BD0628" w:rsidRPr="00FF3E4A" w14:paraId="11B1CD44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988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E795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23FC" w14:textId="77777777" w:rsidR="00BD0628" w:rsidRPr="00FF3E4A" w:rsidRDefault="00D203BD">
            <w:pPr>
              <w:ind w:left="2" w:right="5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Rozmieszczenie budynków na nieruchomości (należy podać minimalny odstęp między budynkami)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40E8" w14:textId="03E1484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BB6916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  <w:r w:rsidR="00B83CE0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</w:t>
            </w:r>
          </w:p>
        </w:tc>
      </w:tr>
      <w:tr w:rsidR="008579F7" w:rsidRPr="00FF3E4A" w14:paraId="0AEBD510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3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D1C5A08" w14:textId="77777777" w:rsidR="008579F7" w:rsidRPr="00FF3E4A" w:rsidRDefault="008579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Sposób pomiaru powierzchni użytkowej lokalu mieszkalnego albo domu jednorodzinnego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1234" w14:textId="77777777" w:rsidR="008579F7" w:rsidRPr="00FF3E4A" w:rsidRDefault="008579F7" w:rsidP="0085195C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pomiar według normy </w:t>
            </w:r>
            <w:r w:rsidRPr="00FF3E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PN-ISO 9836-1997.</w:t>
            </w:r>
          </w:p>
          <w:p w14:paraId="45A94C95" w14:textId="77777777" w:rsidR="008579F7" w:rsidRPr="00FF3E4A" w:rsidRDefault="008579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39137CC7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45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4596DA1" w14:textId="77777777" w:rsidR="00BD0628" w:rsidRPr="00FF3E4A" w:rsidRDefault="00D203BD">
            <w:pPr>
              <w:ind w:right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Zamierzony sposób i procentowy udział źródeł finansowania przedsięwzięcia deweloperskiego lub zadania inwestycyjnego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7069" w14:textId="77777777" w:rsidR="00BD0628" w:rsidRPr="00FF3E4A" w:rsidRDefault="00D203B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Rodzaj posiadanych środków finansowych – kredyt, środki własne, inne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4B74" w14:textId="137EBD1D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A033E">
              <w:rPr>
                <w:rFonts w:asciiTheme="minorHAnsi" w:eastAsia="Times New Roman" w:hAnsiTheme="minorHAnsi" w:cstheme="minorHAnsi"/>
                <w:sz w:val="20"/>
                <w:szCs w:val="20"/>
              </w:rPr>
              <w:t>Pożyczka udzielona przez wspólnika, firmę „Navimor International</w:t>
            </w:r>
            <w:r w:rsidR="00E115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Sp. z o.o.”</w:t>
            </w:r>
          </w:p>
        </w:tc>
      </w:tr>
      <w:tr w:rsidR="00BD0628" w:rsidRPr="00FF3E4A" w14:paraId="13AAE37A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230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BDC1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5854" w14:textId="77777777" w:rsidR="00BD0628" w:rsidRPr="00FF3E4A" w:rsidRDefault="00D203B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 następujących instytucjach finansowych (wypełnia się w przypadku kredytu)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BAB3F5F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0628" w:rsidRPr="00FF3E4A" w14:paraId="32076F6E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28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DE56922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Środki ochrony nabywców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FE78" w14:textId="0AEE8D6C" w:rsidR="00BD0628" w:rsidRPr="00FF3E4A" w:rsidRDefault="00D203BD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Otwarty mieszkaniowy rachunek powierniczy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EF26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  <w:t xml:space="preserve">Zamknięty mieszkaniowy rachunek po- wierniczy* </w:t>
            </w:r>
          </w:p>
        </w:tc>
      </w:tr>
      <w:tr w:rsidR="00BD0628" w:rsidRPr="00FF3E4A" w14:paraId="5B49690F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350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94A4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54EE" w14:textId="77777777" w:rsidR="00BD0628" w:rsidRPr="00FF3E4A" w:rsidRDefault="00D203BD">
            <w:pPr>
              <w:ind w:left="2" w:right="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Wysokość stawki procentowej, według której jest obliczana kwota składki na Deweloperski Fundusz Gwarancyjny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>7)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2A3E" w14:textId="5D0BD29F" w:rsidR="00BD0628" w:rsidRPr="00FF3E4A" w:rsidRDefault="00D203BD">
            <w:pPr>
              <w:ind w:left="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E3493"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0,45%</w:t>
            </w:r>
          </w:p>
        </w:tc>
      </w:tr>
      <w:tr w:rsidR="00422209" w:rsidRPr="00FF3E4A" w14:paraId="52659CE3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12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A504ACE" w14:textId="6131B282" w:rsidR="00422209" w:rsidRPr="00FF3E4A" w:rsidRDefault="00422209" w:rsidP="00DB55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Główne zasady funkcjonowania wybranego rodzaju zabezpieczenia środków nabywcy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3A88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Bank prowadzący mieszkaniowy rachunek powierniczy ewidencjonuje wpłaty i wypłaty odrębnie dla każdego nabywcy, a na żądanie nabywcy podaje szczegółowe informacje dotyczące wpłat i wypłat dokonanych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 wykonaniu umowy, której stroną jest nabywca występujący z żądaniem udzielenia informacji, takie jak data oraz kwoty wpłat i wypłat,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5A0742AE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- Bank prowadzący Rachunek Powierniczy, na żądanie Nabywcy, informuje Nabywcę o dokonanych wpłatach i wypłatach,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6395EDCB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- Nabywca dokonuje wpłat na mieszkaniowy rachunek powierniczy zgodnie z postępem realizacji Zadania Inwestycyjnego,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09D063C2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wysokość wpłat dokonywanych przez nabywcę jest uzależniona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od faktycznego stopnia realizacji poszczególnych etapów Zadania Inwestycyjnego, określonych harmonogramie,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1A8FC93E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Nabywca dokonuje wpłat na mieszkaniowy rachunek powierniczy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 zakończeniu danego etapu Zadania Inwestycyjnego, określonego w ich harmonogramach. Deweloper informuje nabywcę na papierze lub innym trwałym nośniku o zakończeniu danego etapu Zadania Inwestycyjnego,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1928191B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- prawo wypowiedzenia umowy mieszkaniowego rachunku powierniczego przysługuje wyłącznie bankowi i tylko z ważnych powodów,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3257E286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- termin wypowiedzenia umowy mieszkaniowego rachunku powierniczego wynosi 60 dni, z zastrzeżeniem że termin ten ulega skróceniu, w przypadku gdy przed jego upływem deweloper zawrze umowę mieszkaniowego rachunku powierniczego z innym bankiem lub spółdzielczą kasą oszczędnościowo-kredytową,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7099ED9E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Bank informuje nabywcę na papierze lub innym trwałym nośniku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o terminie, w którym wypowiedział umowę mieszkaniowego rachunku powierniczego, w terminie 10 dni od dnia jej wypowiedzenia,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5C3DB66A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- Deweloper dysponuje środkami wypłacanymi z otwartego mieszkaniowego rachunku powierniczego w celu finansowania lub refinansowania Zadania Inwestycyjnego, dla którego jest prowadzony ten rachunek. Deweloper ma prawo dysponować środkami wypłacanymi z Rachunku Powierniczego wyłącznie w celu realizacji Zadania Inwestycyjnego, dla którego prowadzony jest ten Rachunek Powierniczy,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468BEFA0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 związku z realizacją przez dewelopera umowy deweloperskiej, bank wypłaca deweloperowi środki pieniężne wpłacone przez nabywcę na otwarty mieszkaniowy rachunek powierniczy, nie wcześniej niż po 30 dniach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od dnia zawarcia umowy deweloperskiej i po stwierdzeniu zakończenia danego etapu realizacji Zadania Inwestycyjnego, w wysokości kwoty stanowiącej iloczyn procentu kosztów danego etapu określonego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harmonogramie Zadania Inwestycyjnego oraz ceny Budynku- Bank będzie przekazywał na rzecz Dewelopera środki zgromadzone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na Rachunku Powierniczym w wysokościach i zgodnie z Harmonogramem Zadania Inwestycyjnego, ujętym w Prospekcie Informacyjnym,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0174B548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w przypadku zakończenia ostatniego etapu Zadania Inwestycyjnego, określonego w harmonogramie, Bank wypłaca deweloperowi pozostałe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na otwartym mieszkaniowym rachunku powierniczym środki pieniężne wpłacone przez nabywcę na poczet realizacji ostatniego etapu prac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 otrzymaniu wypisu aktu notarialnego umowy przenoszącej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na nabywcę prawa wynikające z umowy deweloperskiej, w stanie wolnym od obciążeń, praw i roszczeń osób trzecich, z wyjątkiem obciążeń, na które wyraził zgodę nabywca,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755B2AB3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- Bank dokonuje kontroli zakończenia każdego z etapów Zadania Inwestycyjnego określonego w Harmonogramie Zadania Inwestycyjnego, przed dokonaniem wypłaty z Rachunku Powierniczego na rzecz Dewelopera,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458200ED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- w trakcie kontroli bank ma prawo wglądu do rachunków bankowych dewelopera oraz kontroli dokumentacji w zakresie dotyczącym Zadania Inwestycyjnego. Koszty kontroli ponosi deweloper.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276A58B2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- wszelkie koszty, opłaty i prowizje za prowadzenie Rachunku Powierniczego, w tym rachunku indywidualnego Nabywcy, obciążają Dewelopera,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35D95AEA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- środki pieniężne, wpłacone przez Nabywcę na Mieszkaniowy Rachunek Powierniczy, nie będą pomniejszone o koszty, opłaty i prowizje.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6E8189F6" w14:textId="31C12FCC" w:rsidR="008602FF" w:rsidRPr="00FF3E4A" w:rsidRDefault="008602FF" w:rsidP="00F960BE">
            <w:pPr>
              <w:pStyle w:val="Akapitzlist"/>
              <w:numPr>
                <w:ilvl w:val="0"/>
                <w:numId w:val="12"/>
              </w:numPr>
              <w:tabs>
                <w:tab w:val="right" w:leader="hyphen" w:pos="9080"/>
              </w:tabs>
              <w:autoSpaceDE w:val="0"/>
              <w:autoSpaceDN w:val="0"/>
              <w:ind w:left="79" w:right="306" w:firstLine="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="00CB6538"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przypadku odstąpienia od umowy, zgodnie z art. 43 ustawy, przez jedną ze stron tej umowy, Bank wypłaca nabywcy przypadające mu środki,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z tytułu dokonywanych wpłat, pomniejszone o udział przypisany danemu nabywcy w wypłatach dokonanych na rzecz Dewelopera, zgodnie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z prowadzoną w Banku ewidencją wpłat i wypłat na koncie ewidencyjnym, bez żadnych potrąceń, kar umownych i innych należności zastrzeżonych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tej umowie, niezwłocznie po przedłożeniu przez nabywcę dokumentów,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o których mowa w pkt 1) albo 2) poniższej: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7A96A317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1) gdy nabywca odstąpi od umowy, na podstawie art. 43 ust. 1 ustawy, ma obowiązek przedstawić: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7FFBABF4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a) dokument tożsamości;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7500A08E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b) oświadczenie o odstąpieniu od tej umowy we właściwej formie wraz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 podaniem podstawy odstąpienia, zgodę nabywcy na wykreślenie roszczenia, o którym mowa w art. 38 ust. 2 ustawy, w formie pisemnej z podpisami notarialnie poświadczonymi lub oświadczenie nabywcy, że nie złożono wniosku o wpis tego roszczenia do księgi wieczystej;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341C5D99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c) oryginał lub poświadczony notarialnie dowód doręczenia deweloperowi oświadczenia, o którym mowa w pkt 2;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3F3F93B8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d) umowę, od której odstąpił, jeżeli Bank nie znajduje się w jej posiadaniu;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0512CB38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e) pisemne oświadczenie nabywcy, w którym wskazany został numer rachunku bankowego nabywcy (cesjonariusza), na który mają być przekazane środki wpłacone przez tego nabywcę na rachunek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za pośrednictwem konta ewidencyjnego.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3D0AE0DC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2) gdy deweloper odstąpi od umowy, na podstawie art. 43 ustawy, wraz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 dyspozycją wypłaty nabywca ma obowiązek przedstawić: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656136A1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a) dokument tożsamości;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5D79AF1B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b) oświadczenie Dewelopera o odstąpieniu od tej umowy we właściwej formie wraz z podaniem podstawy odstąpienia;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203F78E0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c) umowę, od której odstąpił deweloper, jeżeli Bank nie znajduje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się w jej posiadaniu;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3E0CE997" w14:textId="77777777" w:rsidR="008602FF" w:rsidRPr="00FF3E4A" w:rsidRDefault="008602FF" w:rsidP="00F960BE">
            <w:pPr>
              <w:pStyle w:val="Akapitzlist"/>
              <w:tabs>
                <w:tab w:val="right" w:leader="hyphen" w:pos="9080"/>
              </w:tabs>
              <w:autoSpaceDE w:val="0"/>
              <w:autoSpaceDN w:val="0"/>
              <w:ind w:left="79" w:right="30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>d) oświadczenie nabywcy, o którym mowa w ust. 3 pkt 1) lit e) powyżej.</w:t>
            </w:r>
          </w:p>
          <w:p w14:paraId="106A12E3" w14:textId="77777777" w:rsidR="008602FF" w:rsidRPr="00FF3E4A" w:rsidRDefault="008602FF" w:rsidP="00F960BE">
            <w:pPr>
              <w:pStyle w:val="Akapitzlist"/>
              <w:numPr>
                <w:ilvl w:val="0"/>
                <w:numId w:val="12"/>
              </w:numPr>
              <w:tabs>
                <w:tab w:val="right" w:pos="360"/>
                <w:tab w:val="right" w:leader="hyphen" w:pos="9080"/>
              </w:tabs>
              <w:autoSpaceDE w:val="0"/>
              <w:autoSpaceDN w:val="0"/>
              <w:ind w:left="79" w:right="306" w:firstLine="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przypadku rozwiązania umowy, w sposób inny niż określony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art. 43 ustawy, strony tej umowy powinny przedstawić zgodne oświadczenia woli (porozumienie) o sposobie podziału środków zgromadzonych na rachunku przez nabywcę i zaewidencjonowanych 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na koncie ewidencyjnym. Wraz z dyspozycją wypłaty nabywca lub deweloper ma obowiązek przedstawić dokument tożsamości.</w:t>
            </w:r>
            <w:r w:rsidRPr="00FF3E4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26136DBC" w14:textId="7E5F3AA8" w:rsidR="00422209" w:rsidRPr="00FF3E4A" w:rsidRDefault="008602FF" w:rsidP="00F960BE">
            <w:pPr>
              <w:ind w:left="79" w:right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Bank wypłaca środki zgromadzone na rachunku w nominalnej wysokości niezwłocznie po otrzymaniu oświadczeń woli oraz dokumentów, o których mowa w ust. 3 albo 4.</w:t>
            </w:r>
          </w:p>
        </w:tc>
      </w:tr>
      <w:tr w:rsidR="008579F7" w:rsidRPr="00FF3E4A" w14:paraId="3F591234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6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F409745" w14:textId="77777777" w:rsidR="008579F7" w:rsidRPr="00FF3E4A" w:rsidRDefault="008579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Nazwa instytucji zapewniającej bezpieczeństwo środków nabywcy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4933" w14:textId="60771089" w:rsidR="008579F7" w:rsidRPr="00FF3E4A" w:rsidRDefault="008579F7" w:rsidP="008579F7">
            <w:pPr>
              <w:widowControl w:val="0"/>
              <w:suppressAutoHyphens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  <w:lang w:eastAsia="hi-IN" w:bidi="hi-IN"/>
              </w:rPr>
              <w:t>Kaszubski Bank Spółdzielczy</w:t>
            </w: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22209" w:rsidRPr="00FF3E4A" w14:paraId="338173A7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55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71C2536" w14:textId="77777777" w:rsidR="00422209" w:rsidRPr="00FF3E4A" w:rsidRDefault="00422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Harmonogram przedsięwzięcia deweloperskiego lub zadania inwestycyjnego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9BF4" w14:textId="3570A959" w:rsidR="00422209" w:rsidRPr="00E477AE" w:rsidRDefault="00422209" w:rsidP="00D011B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87D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Etap </w:t>
            </w:r>
            <w:r w:rsidRPr="00F73AE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1 – </w:t>
            </w:r>
            <w:r w:rsidRPr="00F73AEA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Stan „zero” budynku:</w:t>
            </w:r>
            <w:r w:rsidRPr="00F73A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6058A579" w14:textId="33B82EE5" w:rsidR="00422209" w:rsidRPr="00FF3E4A" w:rsidRDefault="00422209" w:rsidP="00D011B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>Zakup nieruchomości, przygotowanie terenu pod budowę, wytyczenie i wykonanie wykopów, ławy i ściany fundamentowe, izolacja przeciwwilgociowa, izolacja termiczna</w:t>
            </w:r>
            <w:r w:rsidR="009706DB" w:rsidRPr="00FF3E4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D0F7E3" w14:textId="77777777" w:rsidR="00422209" w:rsidRPr="00FF3E4A" w:rsidRDefault="00422209" w:rsidP="00D011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25% zaawansowania finansowego</w:t>
            </w: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3E07576" w14:textId="782A4D1E" w:rsidR="00282A66" w:rsidRPr="00FF3E4A" w:rsidRDefault="00282A66" w:rsidP="00D011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Termin zakończenia Etapu: </w:t>
            </w:r>
            <w:r w:rsidR="0042096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893156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0962">
              <w:rPr>
                <w:rFonts w:asciiTheme="minorHAnsi" w:hAnsiTheme="minorHAnsi" w:cstheme="minorHAnsi"/>
                <w:sz w:val="20"/>
                <w:szCs w:val="20"/>
              </w:rPr>
              <w:t>marca</w:t>
            </w:r>
            <w:r w:rsidR="00893156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42096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42C28CA4" w14:textId="77777777" w:rsidR="00422209" w:rsidRPr="00FF3E4A" w:rsidRDefault="00422209" w:rsidP="00D011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Etap 2</w:t>
            </w: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FF3E4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Parter budynku:</w:t>
            </w:r>
          </w:p>
          <w:p w14:paraId="3C9A4CDD" w14:textId="1778C6FD" w:rsidR="00422209" w:rsidRPr="00FF3E4A" w:rsidRDefault="00422209" w:rsidP="00D011B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Ściany zewnętrzne parteru, ściany nośne wewnętrzne parteru, nadproża i słupy żelbetowe, schody żelbetowe na piętro, strop nad parterem: </w:t>
            </w:r>
          </w:p>
          <w:p w14:paraId="06839999" w14:textId="77777777" w:rsidR="00422209" w:rsidRPr="00FF3E4A" w:rsidRDefault="00422209" w:rsidP="00D011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20% zaawansowania finansowego.</w:t>
            </w:r>
          </w:p>
          <w:p w14:paraId="4713BD18" w14:textId="5DB3D7A7" w:rsidR="00282A66" w:rsidRPr="00FF3E4A" w:rsidRDefault="00282A66" w:rsidP="00D011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Termin zakończenia Etapu: </w:t>
            </w:r>
            <w:r w:rsidR="0090598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893156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598D">
              <w:rPr>
                <w:rFonts w:asciiTheme="minorHAnsi" w:hAnsiTheme="minorHAnsi" w:cstheme="minorHAnsi"/>
                <w:sz w:val="20"/>
                <w:szCs w:val="20"/>
              </w:rPr>
              <w:t>czerwca</w:t>
            </w:r>
            <w:r w:rsidR="00893156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90598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01A837DC" w14:textId="77777777" w:rsidR="00422209" w:rsidRPr="00FF3E4A" w:rsidRDefault="00422209" w:rsidP="00D011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Etap 3 – </w:t>
            </w:r>
            <w:r w:rsidRPr="00FF3E4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Stan surowy otwarty budynku:</w:t>
            </w:r>
          </w:p>
          <w:p w14:paraId="2D73AC05" w14:textId="3EEA103E" w:rsidR="00422209" w:rsidRPr="00FF3E4A" w:rsidRDefault="00422209" w:rsidP="00D011B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>Ściany kolankowe i nośne piętra, wieńce, słupy i podciągi żelbetowe, kominy,</w:t>
            </w:r>
            <w:r w:rsidR="00A04F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99AFF07" w14:textId="77777777" w:rsidR="00422209" w:rsidRPr="00FF3E4A" w:rsidRDefault="00422209" w:rsidP="00D011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15% zaawansowania finansowego.</w:t>
            </w:r>
          </w:p>
          <w:p w14:paraId="57555D87" w14:textId="071FAE82" w:rsidR="00282A66" w:rsidRPr="00FF3E4A" w:rsidRDefault="00282A66" w:rsidP="00D011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Termin zakończenia Etapu: </w:t>
            </w:r>
            <w:r w:rsidR="00040C7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893156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0C7C">
              <w:rPr>
                <w:rFonts w:asciiTheme="minorHAnsi" w:hAnsiTheme="minorHAnsi" w:cstheme="minorHAnsi"/>
                <w:sz w:val="20"/>
                <w:szCs w:val="20"/>
              </w:rPr>
              <w:t>sierpnia</w:t>
            </w:r>
            <w:r w:rsidR="00893156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040C7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A369242" w14:textId="77777777" w:rsidR="00422209" w:rsidRPr="00FF3E4A" w:rsidRDefault="00422209" w:rsidP="00D011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Etap 4 – </w:t>
            </w:r>
            <w:r w:rsidRPr="00FF3E4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Stan surowy zamknięty budynku:</w:t>
            </w:r>
          </w:p>
          <w:p w14:paraId="7A95E6E8" w14:textId="74A8EBEE" w:rsidR="00422209" w:rsidRPr="00FF3E4A" w:rsidRDefault="00BA4399" w:rsidP="00D011B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Konstrukcja drewniana dachu, pokrycie dachu, stolarka okienna i drzwiowa</w:t>
            </w:r>
            <w:r w:rsidR="006C2768">
              <w:rPr>
                <w:rFonts w:asciiTheme="minorHAnsi" w:hAnsiTheme="minorHAnsi" w:cstheme="minorHAnsi"/>
                <w:sz w:val="20"/>
                <w:szCs w:val="20"/>
              </w:rPr>
              <w:t>, ścianki działowe</w:t>
            </w:r>
          </w:p>
          <w:p w14:paraId="63C858ED" w14:textId="04FC7C5F" w:rsidR="00422209" w:rsidRPr="00FF3E4A" w:rsidRDefault="00422209" w:rsidP="00D011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C68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% zaawansowania finansowego. </w:t>
            </w:r>
          </w:p>
          <w:p w14:paraId="5C60EDA5" w14:textId="38C8CD1D" w:rsidR="00282A66" w:rsidRDefault="00282A66" w:rsidP="00D011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Termin zakończenia Etapu: </w:t>
            </w:r>
            <w:r w:rsidR="00BC682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893156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65AE">
              <w:rPr>
                <w:rFonts w:asciiTheme="minorHAnsi" w:hAnsiTheme="minorHAnsi" w:cstheme="minorHAnsi"/>
                <w:sz w:val="20"/>
                <w:szCs w:val="20"/>
              </w:rPr>
              <w:t>września</w:t>
            </w:r>
            <w:r w:rsidR="00893156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B2513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48BD6F90" w14:textId="7EEA8B38" w:rsidR="002079AB" w:rsidRPr="00FF3E4A" w:rsidRDefault="002079AB" w:rsidP="002079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Etap </w:t>
            </w:r>
            <w:r w:rsidR="00BC68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</w:t>
            </w:r>
            <w:r w:rsidR="006C276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Instalacje</w:t>
            </w:r>
            <w:r w:rsidRPr="00FF3E4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:</w:t>
            </w:r>
          </w:p>
          <w:p w14:paraId="266DBBAF" w14:textId="2787A6D6" w:rsidR="002079AB" w:rsidRPr="00FF3E4A" w:rsidRDefault="006C2768" w:rsidP="002079A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Instalacje elektryczne bez osprzętu</w:t>
            </w:r>
            <w:r w:rsidR="00445137">
              <w:rPr>
                <w:rFonts w:asciiTheme="minorHAnsi" w:hAnsiTheme="minorHAnsi" w:cstheme="minorHAnsi"/>
                <w:sz w:val="20"/>
                <w:szCs w:val="20"/>
              </w:rPr>
              <w:t xml:space="preserve"> i rozdzielni, instalacje wod-kan i c.o. bez kotła i oprzętu</w:t>
            </w:r>
            <w:r w:rsidR="006F1EC9">
              <w:rPr>
                <w:rFonts w:asciiTheme="minorHAnsi" w:hAnsiTheme="minorHAnsi" w:cstheme="minorHAnsi"/>
                <w:sz w:val="20"/>
                <w:szCs w:val="20"/>
              </w:rPr>
              <w:t>, wykonanie elewacji, tynki wewnętrzne, wykonanie posadzek</w:t>
            </w:r>
          </w:p>
          <w:p w14:paraId="5AC5F047" w14:textId="6AF2B5E7" w:rsidR="002079AB" w:rsidRPr="00FF3E4A" w:rsidRDefault="00BC682B" w:rsidP="002079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="002079AB"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% zaawansowania finansowego. </w:t>
            </w:r>
          </w:p>
          <w:p w14:paraId="2FBEE0A9" w14:textId="55EACABF" w:rsidR="002079AB" w:rsidRPr="00FF3E4A" w:rsidRDefault="002079AB" w:rsidP="00D011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Termin zakończenia Etapu: </w:t>
            </w:r>
            <w:r w:rsidR="006F1EC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1EC9">
              <w:rPr>
                <w:rFonts w:asciiTheme="minorHAnsi" w:hAnsiTheme="minorHAnsi" w:cstheme="minorHAnsi"/>
                <w:sz w:val="20"/>
                <w:szCs w:val="20"/>
              </w:rPr>
              <w:t>listopada</w:t>
            </w: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6F1EC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5314EB4" w14:textId="7CE12D2C" w:rsidR="00422209" w:rsidRDefault="00422209" w:rsidP="006F1EC9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Etap </w:t>
            </w:r>
            <w:r w:rsidR="00BC68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</w:t>
            </w:r>
            <w:r w:rsidRPr="00FF3E4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Prace końcowe</w:t>
            </w:r>
            <w:r w:rsidR="00486AD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:</w:t>
            </w:r>
          </w:p>
          <w:p w14:paraId="38238C0C" w14:textId="65053689" w:rsidR="00486AD3" w:rsidRPr="00486AD3" w:rsidRDefault="00486AD3" w:rsidP="006F1E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AD3">
              <w:rPr>
                <w:rFonts w:asciiTheme="minorHAnsi" w:hAnsiTheme="minorHAnsi" w:cstheme="minorHAnsi"/>
                <w:sz w:val="20"/>
                <w:szCs w:val="20"/>
              </w:rPr>
              <w:t>Montaż osprzętu, rozdzielni, kotła c.o., mała architektura</w:t>
            </w:r>
          </w:p>
          <w:p w14:paraId="4B778B5B" w14:textId="3CFADCED" w:rsidR="00282A66" w:rsidRPr="00FF3E4A" w:rsidRDefault="004222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BC68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 zaawansowania finansowego.</w:t>
            </w:r>
          </w:p>
          <w:p w14:paraId="590BC495" w14:textId="5E816D47" w:rsidR="00422209" w:rsidRPr="00FF3E4A" w:rsidRDefault="00282A6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Termin zakończenia Etapu: </w:t>
            </w:r>
            <w:r w:rsidR="00893156" w:rsidRPr="00FF3E4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F1EC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93156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1EC9">
              <w:rPr>
                <w:rFonts w:asciiTheme="minorHAnsi" w:hAnsiTheme="minorHAnsi" w:cstheme="minorHAnsi"/>
                <w:sz w:val="20"/>
                <w:szCs w:val="20"/>
              </w:rPr>
              <w:t>stycznia</w:t>
            </w:r>
            <w:r w:rsidR="00BA4ECC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3156" w:rsidRPr="00FF3E4A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6F1EC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422209" w:rsidRPr="00FF3E4A" w14:paraId="52A69D40" w14:textId="77777777" w:rsidTr="00DB554D">
        <w:tblPrEx>
          <w:tblCellMar>
            <w:top w:w="167" w:type="dxa"/>
          </w:tblCellMar>
        </w:tblPrEx>
        <w:trPr>
          <w:gridAfter w:val="1"/>
          <w:wAfter w:w="33" w:type="dxa"/>
          <w:trHeight w:val="9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83E9A40" w14:textId="77777777" w:rsidR="00422209" w:rsidRPr="00FF3E4A" w:rsidRDefault="00422209">
            <w:pPr>
              <w:ind w:righ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Dopuszczenie waloryzacji ceny oraz określenie zasad waloryzacji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9AC3" w14:textId="0F792733" w:rsidR="00422209" w:rsidRPr="00FF3E4A" w:rsidRDefault="00422209" w:rsidP="00F52BDC">
            <w:pPr>
              <w:widowControl w:val="0"/>
              <w:suppressAutoHyphens/>
              <w:spacing w:line="26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eastAsia="hi-IN" w:bidi="hi-IN"/>
              </w:rPr>
            </w:pPr>
            <w:r w:rsidRPr="00FF3E4A">
              <w:rPr>
                <w:rFonts w:asciiTheme="minorHAnsi" w:eastAsia="Arial" w:hAnsiTheme="minorHAnsi" w:cstheme="minorHAnsi"/>
                <w:sz w:val="20"/>
                <w:szCs w:val="20"/>
                <w:lang w:eastAsia="hi-IN" w:bidi="hi-IN"/>
              </w:rPr>
              <w:t xml:space="preserve">Cena sprzedaży może ulec waloryzacji jedynie w przypadku zmiany powszechnie obowiązujących stawek podatku od towarów i usług (VAT) na sprzedaż nieruchomości mieszkalnych. W przypadku zmian, cena ulegnie zmianie w wysokości proporcjonalnej do dokonanej zmiany stawki VAT-u. </w:t>
            </w:r>
          </w:p>
          <w:p w14:paraId="55FFD54C" w14:textId="77777777" w:rsidR="00422209" w:rsidRPr="00FF3E4A" w:rsidRDefault="00422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EB7584" w14:textId="77777777" w:rsidR="00BD0628" w:rsidRPr="00FF3E4A" w:rsidRDefault="00D203B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trike/>
          <w:sz w:val="20"/>
          <w:szCs w:val="20"/>
        </w:rPr>
        <w:t xml:space="preserve">                                                         </w:t>
      </w: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50083DEA" w14:textId="77777777" w:rsidR="00BD0628" w:rsidRPr="00FF3E4A" w:rsidRDefault="00D203BD">
      <w:pPr>
        <w:spacing w:after="4" w:line="260" w:lineRule="auto"/>
        <w:ind w:left="266" w:hanging="281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7)</w:t>
      </w: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 Zgodnie z art. 49 ust. 6 ustawy z dnia 20 maja 2021 r. o ochronie praw nabywcy lokalu mieszkalnego lub domu jednorodzinnego oraz Deweloperskim Funduszu Gwarancyjnym (Dz. U. poz.  1177) wysokość składki jest wyliczana według stawki procentowej obowiązującej w dniu rozpoczęcia sprzedaży lokali mieszkalnych lub domów jednorodzinnych w ramach danego przedsięwzięcia deweloperskiego lub zadania inwestycyjnego. Natomiast stawkę procentową określa akt wykonawczy wydany na podstawie art. 49 ust. 8 ustawy z dnia 20 maja 2021 r.</w:t>
      </w: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o ochronie praw nabywcy lokalu mieszkalnego lub domu jednorodzinnego oraz Deweloperskim Funduszu Gwarancyjnym. </w:t>
      </w:r>
    </w:p>
    <w:p w14:paraId="673C289A" w14:textId="77777777" w:rsidR="00BD0628" w:rsidRPr="00FF3E4A" w:rsidRDefault="00D203BD">
      <w:pPr>
        <w:spacing w:after="33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9EE79AF" w14:textId="77777777" w:rsidR="00BD0628" w:rsidRPr="00FF3E4A" w:rsidRDefault="00D203BD">
      <w:pPr>
        <w:spacing w:after="4" w:line="26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*</w:t>
      </w:r>
      <w:r w:rsidRPr="00FF3E4A">
        <w:rPr>
          <w:rFonts w:asciiTheme="minorHAnsi" w:eastAsia="Times New Roman" w:hAnsiTheme="minorHAnsi" w:cstheme="minorHAnsi"/>
          <w:sz w:val="20"/>
          <w:szCs w:val="20"/>
        </w:rPr>
        <w:t xml:space="preserve"> Niepotrzebne skreślić. </w:t>
      </w:r>
    </w:p>
    <w:p w14:paraId="1CBEEAF8" w14:textId="77777777" w:rsidR="00BD0628" w:rsidRPr="00FF3E4A" w:rsidRDefault="00BD0628">
      <w:pPr>
        <w:spacing w:after="0"/>
        <w:ind w:left="-1020" w:right="10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648" w:type="dxa"/>
        <w:tblInd w:w="109" w:type="dxa"/>
        <w:tblCellMar>
          <w:top w:w="188" w:type="dxa"/>
          <w:left w:w="107" w:type="dxa"/>
          <w:bottom w:w="7" w:type="dxa"/>
          <w:right w:w="57" w:type="dxa"/>
        </w:tblCellMar>
        <w:tblLook w:val="04A0" w:firstRow="1" w:lastRow="0" w:firstColumn="1" w:lastColumn="0" w:noHBand="0" w:noVBand="1"/>
      </w:tblPr>
      <w:tblGrid>
        <w:gridCol w:w="2809"/>
        <w:gridCol w:w="6839"/>
      </w:tblGrid>
      <w:tr w:rsidR="00BD0628" w:rsidRPr="00FF3E4A" w14:paraId="7A023338" w14:textId="77777777" w:rsidTr="00DB554D">
        <w:trPr>
          <w:trHeight w:val="902"/>
        </w:trPr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6348EF01" w14:textId="77777777" w:rsidR="00BD0628" w:rsidRPr="00FF3E4A" w:rsidRDefault="00D203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WARUNKI ODSTĄPIENIA OD UMOWY DEWELOPERSKIEJ LUB UMOWY, O KTÓREJ MOWA W ART. 2 UST. 1 PKT 2, 3 LUB 5 USTAWY Z DNIA 20 MAJA 2021 R. O OCHRONIE PRAW NABYWCY </w:t>
            </w:r>
          </w:p>
          <w:p w14:paraId="7BB215FB" w14:textId="7F906F4C" w:rsidR="00BD0628" w:rsidRPr="00FF3E4A" w:rsidRDefault="00D203BD" w:rsidP="00CD501D">
            <w:pPr>
              <w:spacing w:after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LOKALU MIESZKALNEGO LUB DOMU JEDNORODZINNEGO ORAZ DEWELOPERSKIM FUNDUSZU GWARANCYJNYM</w:t>
            </w:r>
          </w:p>
        </w:tc>
      </w:tr>
      <w:tr w:rsidR="00BD0628" w:rsidRPr="00FF3E4A" w14:paraId="322E446F" w14:textId="77777777" w:rsidTr="00CD501D">
        <w:trPr>
          <w:trHeight w:val="7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79EA5EB" w14:textId="7A9CE2E9" w:rsidR="00BD0628" w:rsidRPr="00FF3E4A" w:rsidRDefault="00D203BD" w:rsidP="009706DB">
            <w:pPr>
              <w:spacing w:line="239" w:lineRule="auto"/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Warunki, na jakich można odstąpić od umowy dewelo- perskiej lub jednej z umów, o których mowa w art. 2 ust. 1 pkt 2, 3 lub 5 ustawy z dnia 20 maja 2021 r. o ochronie praw nabywcy lokalu mieszkalnego lub domu jednorodzinnego oraz Deweloperskim Funduszu </w:t>
            </w:r>
          </w:p>
          <w:p w14:paraId="3C4FECDB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Gwarancyjnym 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38E1" w14:textId="75EF2614" w:rsidR="00B50E77" w:rsidRPr="00C479AD" w:rsidRDefault="00DB554D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C479A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="00B50E77" w:rsidRPr="00C479A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Nabywca ma prawo odstąpić od umowy </w:t>
            </w:r>
            <w:r w:rsidR="002C4FD1" w:rsidRPr="00C479A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deweloperskiej</w:t>
            </w:r>
            <w:r w:rsidR="00B50E77" w:rsidRPr="00C479A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B50E77" w:rsidRPr="00C479A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03374326" w14:textId="6E53BFCE" w:rsidR="00B50E77" w:rsidRPr="00C479AD" w:rsidRDefault="00DB554D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C479A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50E77" w:rsidRPr="00C479A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jeżeli niniejsza umowa nie zawiera elementów, o których mowa w art. 35 ustawy z dnia 20 maja 2021 roku o ochronie praw nabywcy lokalu mieszkalnego lub domu jednorodzinnego oraz Deweloperskim Funduszu Gwarancyjnym;</w:t>
            </w:r>
            <w:r w:rsidR="00B50E77" w:rsidRPr="00C479A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7E3CA9B2" w14:textId="14111895" w:rsidR="00B50E77" w:rsidRPr="00C479AD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C479A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2)jeżeli informacje zawarte w niniejszej umowie nie są zgodne z informacjami zawartymi w Prospekcie Informacyjnym </w:t>
            </w:r>
          </w:p>
          <w:p w14:paraId="56FBA09F" w14:textId="7302A3DB" w:rsidR="00B50E77" w:rsidRPr="00C479AD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C479A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lub w załącznikach, za wyjątkiem zmian, o których mowa w art. 35 ust. 2 powołanej wyżej ustawy;</w:t>
            </w:r>
            <w:r w:rsidRPr="00C479A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5C6A80DF" w14:textId="4754FF2C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C479A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lastRenderedPageBreak/>
              <w:t>3)jeżeli Deweloper nie doręczył zgodnie z art. 21 lub art. 22 powołanej wyżej ustawy Prospektu Informacyjnego wraz z załącznikami lub informacji o zmianie danych lub informacji zawartych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CDECFA3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w prospekcie informacyjnym lub jego załącznikach;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0AD09E3F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4)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jeżeli dane lub informacje zawarte w Prospekcie Informacyjnym </w:t>
            </w:r>
          </w:p>
          <w:p w14:paraId="00539E73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lub w załącznikach, na podstawie których zawarto umowę objętą niniejszym aktem notarialnym, są niezgodne ze stanem faktycznym </w:t>
            </w:r>
          </w:p>
          <w:p w14:paraId="22F240CD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 prawnym w dniu zawarcia niniejszej umowy;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42ACB398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5)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jeżeli Prospekt Informacyjny, na podstawie którego zawarto umowę objętą niniejszym aktem notarialnym, nie zawiera danych </w:t>
            </w:r>
          </w:p>
          <w:p w14:paraId="76729C24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lub informacji określonych we wzorze prospektu informacyjnego stanowiącego załącznik do wyżej powołanej ustawy;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25DD0DB0" w14:textId="709946D1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6)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>w przypadku nie</w:t>
            </w:r>
            <w:r w:rsidR="00DE2CD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przeniesienia na Nabywcę prawa własności zabudowanej Budynkiem nieruchomości w terminie określonym </w:t>
            </w:r>
          </w:p>
          <w:p w14:paraId="2C62CF1D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w umowie objętej niniejszym aktem notarialnym;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65B04B86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7)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w przypadku gdy deweloper nie zawrze umowy mieszkaniowego rachunku powierniczego z innym bankiem lub spółdzielczą kasą oszczędnościowo-kredytową w trybie i terminie, </w:t>
            </w:r>
          </w:p>
          <w:p w14:paraId="374E322A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 których mowa w art. 10 ust. 1 powołanej wyżej ustawy;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4DE750F8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8)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w przypadku gdy deweloper nie posiada zgody wierzyciela hipotecznego lub zobowiązania do jej udzielenia, o których mowa </w:t>
            </w:r>
          </w:p>
          <w:p w14:paraId="3E1A2085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w art. 25 ust. 1 pkt 1 lub 2 powołanej wyżej ustawy;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0B5E73C6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9)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>w przypadku niewykonania przez dewelopera obowiązku, o którym mowa w art. 12 ust. 2 powołanej wyżej ustawy, w terminie określonym w tym przepisie;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418C2428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10)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>w przypadku nieusunięcia przez Dewelopera wady istotnej Budynku</w:t>
            </w:r>
          </w:p>
          <w:p w14:paraId="3853F955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na zasadach określonych w art. 41 ust. 11 powołanej wyżej ustawy;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089113D0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11)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>w przypadku stwierdzenia przez rzeczoznawcę budowlanego istnienia wady istotnej Budynku, o który mowa w art. 41 ust. 15 powołanej wyżej ustawy;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40B1D58C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12)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>jeżeli syndyk zażądał wykonania umowy na podstawie art. 98 ustawy z dnia 28 lutego 2003 roku – Prawo upadłościowe.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015A448A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W przypadkach, o których mowa w ust. 2 pkt 1) – 5) niniejszego paragrafu, Nabywca ma prawo odstąpienia od niniejszej umowy w terminie </w:t>
            </w:r>
          </w:p>
          <w:p w14:paraId="7F040C17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30 (trzydziestu) dni od dnia jej zawarcia.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5950C3C5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W przypadku, o którym mowa w ust. 2 pkt 6) niniejszego paragrafu, przed skorzystaniem z prawa do odstąpienia od umowy objętej niniejszym aktem notarialnym, Nabywca wyznaczy Deweloperowi 120-dniowy termin </w:t>
            </w:r>
          </w:p>
          <w:p w14:paraId="0A7333DD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na przeniesienie prawa, o którym mowa powyżej, a w razie bezskutecznego upływu wyznaczonego terminu będzie uprawniony do odstąpienia </w:t>
            </w:r>
          </w:p>
          <w:p w14:paraId="009949DB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od tej umowy, zachowując roszczenie o zapłatę rekompensaty z tytułu niewykonania lub nienależytego wykonania Umowy Deweloperskiej, </w:t>
            </w:r>
          </w:p>
          <w:p w14:paraId="13B2FC40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 której mowa w art. 39 ust. 2 Ustawy.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5483E4BD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W przypadku, o którym mowa w ust. 2 pkt 7) niniejszego paragrafu, nabywca ma prawo odstąpienia od umowy objętej niniejszym aktem notarialnym po dokonaniu przez bank zwrotu środków zgodnie </w:t>
            </w:r>
          </w:p>
          <w:p w14:paraId="62EB028F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 art. 10 ust. 3 ustawy z dnia 20 maja 2021 roku o ochronie praw nabywcy lokalu mieszkalnego lub domu jednorodzinnego oraz Deweloperskim Funduszu Gwarancyjnym,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6CCE0CA7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W przypadku, o którym mowa w ust. 2 pkt 8) niniejszego paragrafu, nabywca ma prawo odstąpienia od umowy deweloperskiej w terminie </w:t>
            </w:r>
          </w:p>
          <w:p w14:paraId="37C8414E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60 dni od dnia jej zawarcia.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187E10B3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W przypadku, o którym mowa w ust. 2 pkt 9) niniejszego paragrafu, nabywca ma prawo odstąpienia od umowy deweloperskiej po upływie </w:t>
            </w:r>
          </w:p>
          <w:p w14:paraId="375361D1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60 dni od dnia podania do publicznej wiadomości informacji, o których mowa w art. 12 ust. 1 ustawy z dnia 20 maja 2021 roku o ochronie praw nabywcy lokalu mieszkalnego lub domu jednorodzinnego oraz Deweloperskim Funduszu Gwarancyjnym.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14DC7103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Deweloper ma prawo odstąpić od niniejszej umowy w przypadku niespełnienia przez nabywcę świadczenia pieniężnego w terminie </w:t>
            </w:r>
          </w:p>
          <w:p w14:paraId="67E82AA6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lub wysokości określonych w niniejszej umowie, mimo wezwania nabywcy w formie pisemnej do uiszczenia zaległych kwot w terminie </w:t>
            </w:r>
          </w:p>
          <w:p w14:paraId="50B902BD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30 (trzydzieści) dni od dnia doręczenia wezwania, chyba że niespełnienie przez nabywcę świadczenia pieniężnego jest spowodowane działaniem siły wyższej.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64AADDBB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Deweloper ma prawo odstąpić od niniejszej umowy w przypadku niestawienia się Nabywcy do odbioru Budynku lub podpisania aktu notarialnego przenoszącego na Nabywcę prawa do Budynku pomimo dwukrotnego doręczenia wezwania w formie pisemnej w odstępie </w:t>
            </w:r>
          </w:p>
          <w:p w14:paraId="0A093D4E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co najmniej 60 (sześćdziesięciu) dni, chyba że niestawienie się Nabywcy jest spowodowane działaniem siły wyższej.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1F81A22B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>W przypadku skorzystania przez Nabywcę z prawa odstąpienia, o którym mowa powyżej, umowa niniejsza uważana jest za niezawartą, a Nabywca, nie ponosi żadnych kosztów związanych z odstąpieniem od tej umowy.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4B371460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>Oświadczenie woli Nabywcy o odstąpieniu od umowy deweloperskiej jest skuteczne, jeżeli zawiera zgodę na wykreślenie roszczenia o przeniesienie własności nieruchomości złożone w formie pisemnej z podpisem notarialnie poświadczonym. Oświadczenie woli Dewelopera o odstąpieniu od umowy deweloperskiej wymaga zachowania formy pisemnej.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1B158F07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W przypadku odstąpienia od umowy objętej niniejszym aktem przez Dewelopera na podstawie ust. 8-9 niniejszego paragrafu, Nabywca zobowiązany jest dostarczyć Deweloperowi pisemne oświadczenie </w:t>
            </w:r>
          </w:p>
          <w:p w14:paraId="251CC574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z notarialnym poświadczeniem podpisu zawierające zgodę </w:t>
            </w:r>
          </w:p>
          <w:p w14:paraId="5BCFB8AC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na wykreślenie z księgi wieczystej odpowiednich roszczeń wpisanych lub oczekujących na wpisanie (wzmianka) w oparciu o umowę objętą niniejszym aktem notarialnym, w terminie nie dłuższym niż </w:t>
            </w:r>
          </w:p>
          <w:p w14:paraId="4AEC8DE7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(14) czternastu dni od dnia otrzymania przez Nabywcę oświadczenia </w:t>
            </w:r>
          </w:p>
          <w:p w14:paraId="700CB493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 odstąpieniu od niniejszej Umowy.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32786D8E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13.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W przypadku odstąpienia od niniejszej umowy przez którąkolwiek </w:t>
            </w:r>
          </w:p>
          <w:p w14:paraId="510FA7B1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ze stron, Deweloper, zwróci Nabywcy wpłaconą przez niego na poczet ceny kwotę, wypłaconą Deweloperowi przez Bank prowadzący mieszkaniowy rachunek powierniczy, przelewem bankowym na rachunek bankowy wskazany przez Nabywcę, w terminie (30) trzydziestu dni od dnia złożenia przez którąkolwiek ze Stron niniejszej umowy oświadczenia o odstąpieniu.</w:t>
            </w:r>
          </w:p>
          <w:p w14:paraId="60A11999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Deweloper ma obowiązek niezwłocznie, jednak nie później niż w terminie 30 dni od dnia otrzymania oświadczenia nabywcy o odstąpieniu </w:t>
            </w:r>
          </w:p>
          <w:p w14:paraId="1F5FFCCB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od umowy, zwrócić nabywcy środki wypłacone Deweloperowi przez bank </w:t>
            </w:r>
          </w:p>
          <w:p w14:paraId="4071B50A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z otwartego mieszkaniowego rachunku powierniczego w związku </w:t>
            </w:r>
          </w:p>
          <w:p w14:paraId="653B0A6F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 realizacją umowy deweloperskiej.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250C414E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15.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  <w:t xml:space="preserve">W terminie 30 dni od dnia otrzymania oświadczenia nabywcy </w:t>
            </w:r>
          </w:p>
          <w:p w14:paraId="62322646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o odstąpieniu od umowy deweloper przekazuje do Ubezpieczeniowego Funduszu Gwarancyjnego, o którym mowa w rozdziale 7 ustawy z dnia </w:t>
            </w:r>
          </w:p>
          <w:p w14:paraId="38F33C92" w14:textId="77777777" w:rsidR="00B50E77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22 maja 2003 r. o ubezpieczeniach obowiązkowych, Ubezpieczeniowym Funduszu Gwarancyjnym i Polskim Biurze Ubezpieczycieli Komunikacyjnych (Dz. U. z 2021 r. poz. 854 i 1177), zwanego dalej "Ubezpieczeniowym Funduszem Gwarancyjnym", w celu realizacji przez ten fundusz zwrotu wpłat nabywców w przypadku określonym </w:t>
            </w:r>
          </w:p>
          <w:p w14:paraId="367A9D30" w14:textId="3CCBF76C" w:rsidR="00B622F5" w:rsidRPr="00FF3E4A" w:rsidRDefault="00B50E77" w:rsidP="00DB554D">
            <w:pPr>
              <w:shd w:val="clear" w:color="auto" w:fill="FFFFFF"/>
              <w:ind w:right="206" w:hanging="55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w art. 48 ust. 1 pkt 6, informację o wysokości środków zwróconych nabywcy w związku z odstąpieniem przez niego od umowy i dacie dokonania zwrotu tych środków.</w:t>
            </w:r>
            <w:r w:rsidRPr="00FF3E4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22B1CD0B" w14:textId="77777777" w:rsidR="00B622F5" w:rsidRPr="00FF3E4A" w:rsidRDefault="00B622F5" w:rsidP="00DB554D">
            <w:pPr>
              <w:shd w:val="clear" w:color="auto" w:fill="FFFFFF"/>
              <w:ind w:right="206" w:hanging="55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C9F210D" w14:textId="77777777" w:rsidR="00B622F5" w:rsidRPr="00FF3E4A" w:rsidRDefault="00B622F5" w:rsidP="00DB554D">
            <w:pPr>
              <w:shd w:val="clear" w:color="auto" w:fill="FFFFFF"/>
              <w:ind w:right="206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9B219CF" w14:textId="44694A07" w:rsidR="00B622F5" w:rsidRPr="00FF3E4A" w:rsidRDefault="00B622F5" w:rsidP="00DB554D">
            <w:pPr>
              <w:shd w:val="clear" w:color="auto" w:fill="FFFFFF"/>
              <w:ind w:right="206" w:hanging="55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Nabywcy, w terminie 14 dni kalendarzowych od dnia otrzymania </w:t>
            </w:r>
            <w:r w:rsidR="00194F00"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od Dewelopera </w:t>
            </w: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zawiadomienia</w:t>
            </w:r>
            <w:r w:rsidR="00194F00"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 zmianie ceny podyktowanej zmianą wys</w:t>
            </w:r>
            <w:r w:rsidR="00366087"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okości stawek podatku VAT</w:t>
            </w: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przysługiwać będzie prawo do odstąpienia od umowy </w:t>
            </w:r>
            <w:r w:rsidR="00366087"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deweloperskiej</w:t>
            </w:r>
            <w:r w:rsidR="003171EC"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przypadku, w którym w wyniku wzrostu stawki podatku od towarów i usług VAT wzrośnie cena Budynku</w:t>
            </w:r>
          </w:p>
          <w:p w14:paraId="59CE5A3B" w14:textId="77777777" w:rsidR="00B622F5" w:rsidRPr="00FF3E4A" w:rsidRDefault="00B622F5" w:rsidP="00DB554D">
            <w:pPr>
              <w:shd w:val="clear" w:color="auto" w:fill="FFFFFF"/>
              <w:ind w:right="206" w:hanging="55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0DAA819" w14:textId="77777777" w:rsidR="00B622F5" w:rsidRPr="00FF3E4A" w:rsidRDefault="00B622F5" w:rsidP="00DB554D">
            <w:pPr>
              <w:shd w:val="clear" w:color="auto" w:fill="FFFFFF"/>
              <w:ind w:right="206" w:hanging="55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E7D86E1" w14:textId="77777777" w:rsidR="00B622F5" w:rsidRPr="00FF3E4A" w:rsidRDefault="00B622F5" w:rsidP="00DB554D">
            <w:pPr>
              <w:shd w:val="clear" w:color="auto" w:fill="FFFFFF"/>
              <w:ind w:right="206" w:hanging="55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13E6825" w14:textId="3E70A1DD" w:rsidR="00BD0628" w:rsidRPr="00FF3E4A" w:rsidRDefault="00BD0628" w:rsidP="00DB554D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0" w:name="mip59469392"/>
            <w:bookmarkStart w:id="1" w:name="mip59469393"/>
            <w:bookmarkStart w:id="2" w:name="mip59469394"/>
            <w:bookmarkStart w:id="3" w:name="mip59469395"/>
            <w:bookmarkStart w:id="4" w:name="mip59469396"/>
            <w:bookmarkStart w:id="5" w:name="mip59469397"/>
            <w:bookmarkStart w:id="6" w:name="mip59469398"/>
            <w:bookmarkStart w:id="7" w:name="mip59469399"/>
            <w:bookmarkStart w:id="8" w:name="mip59469400"/>
            <w:bookmarkStart w:id="9" w:name="mip59469401"/>
            <w:bookmarkStart w:id="10" w:name="mip59469402"/>
            <w:bookmarkStart w:id="11" w:name="mip59469403"/>
            <w:bookmarkStart w:id="12" w:name="mip59469405"/>
            <w:bookmarkStart w:id="13" w:name="mip59469406"/>
            <w:bookmarkStart w:id="14" w:name="mip59469407"/>
            <w:bookmarkStart w:id="15" w:name="mip59469408"/>
            <w:bookmarkStart w:id="16" w:name="mip59469409"/>
            <w:bookmarkStart w:id="17" w:name="mip5946941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</w:tr>
      <w:tr w:rsidR="00BD0628" w:rsidRPr="00FF3E4A" w14:paraId="1F3A129F" w14:textId="77777777">
        <w:trPr>
          <w:trHeight w:val="528"/>
        </w:trPr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042CDE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 xml:space="preserve">INNE INFORMACJE  </w:t>
            </w:r>
          </w:p>
        </w:tc>
      </w:tr>
      <w:tr w:rsidR="00BD0628" w:rsidRPr="00FF3E4A" w14:paraId="0D93E402" w14:textId="77777777">
        <w:trPr>
          <w:trHeight w:val="4126"/>
        </w:trPr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  <w:vAlign w:val="center"/>
          </w:tcPr>
          <w:p w14:paraId="11E92CAA" w14:textId="77777777" w:rsidR="00BD0628" w:rsidRPr="00FF3E4A" w:rsidRDefault="00D203BD">
            <w:pPr>
              <w:spacing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I. Informacja o: </w:t>
            </w:r>
          </w:p>
          <w:p w14:paraId="39633380" w14:textId="31B90766" w:rsidR="00BD0628" w:rsidRPr="00FF3E4A" w:rsidRDefault="00D203BD">
            <w:pPr>
              <w:numPr>
                <w:ilvl w:val="0"/>
                <w:numId w:val="4"/>
              </w:numPr>
              <w:spacing w:after="101" w:line="239" w:lineRule="auto"/>
              <w:ind w:right="49" w:hanging="3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zgodzie banku</w:t>
            </w:r>
            <w:r w:rsidR="00E64724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, kasy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innego wierzyciela hipotecznego na bez</w:t>
            </w:r>
            <w:r w:rsidR="00DE2C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obciążeniowe ustanowienie odrębnej własności lokalu mieszkalnego i przeniesienie jego własności na nabywcę po wpłacie pełnej ceny przez nabywcę lub zobowiązaniu do jej udzielenia, jeżeli takie obciążenie istnieje, albo zgodzie banku</w:t>
            </w:r>
            <w:r w:rsidR="00E64724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, kasy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innego wierzyciela hipotecznego na bez</w:t>
            </w:r>
            <w:r w:rsidR="00DE2C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obciążeniowe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zobowiązaniu do jej udzielenia, jeżeli takie obciążenie istnieje;  </w:t>
            </w:r>
          </w:p>
          <w:p w14:paraId="2DBB82C1" w14:textId="7B950203" w:rsidR="00BD0628" w:rsidRPr="00FF3E4A" w:rsidRDefault="00D203BD">
            <w:pPr>
              <w:numPr>
                <w:ilvl w:val="0"/>
                <w:numId w:val="4"/>
              </w:numPr>
              <w:ind w:right="49" w:hanging="3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umów, o których mowa w art. 2 ust. 2 ustawy z dnia 20 maja 2021 r. o ochronie praw nabywcy lokalu mieszkalnego lub domu jednorodzinnego oraz Deweloperskim Funduszu Gwarancyjnym, o zgodzie banku</w:t>
            </w:r>
            <w:r w:rsidR="00E64724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, kasy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innego wierzyciela hipotecznego na bez</w:t>
            </w:r>
            <w:r w:rsidR="00DE2C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obciążeniowe przeniesienie własności lokalu użytkowego na nabywcę po wpłacie pełnej ceny przez nabywcę lub zobowiązaniu do udzielenia takiej zgody, jeżeli takie obciążenie istnieje, albo zgodzie banku</w:t>
            </w:r>
            <w:r w:rsidR="00E64724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, kasy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innego wierzyciela hipotecznego na bez</w:t>
            </w:r>
            <w:r w:rsidR="00DE2C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obciążeniowe przeniesienie na nabywcę ułamkowej części własności lokalu użytkowego po wpłacie pełnej ceny przez nabywcę lub zobowiązaniu do udzielenia takiej zgody, jeżeli takie obciążenie istnieje. </w:t>
            </w:r>
            <w:r w:rsidR="0045279A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="0045279A" w:rsidRPr="00FF3E4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Nie dotyczy </w:t>
            </w:r>
          </w:p>
        </w:tc>
      </w:tr>
      <w:tr w:rsidR="00BD0628" w:rsidRPr="00FF3E4A" w14:paraId="4ABD12BB" w14:textId="77777777">
        <w:trPr>
          <w:trHeight w:val="5360"/>
        </w:trPr>
        <w:tc>
          <w:tcPr>
            <w:tcW w:w="96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ED58C" w14:textId="77777777" w:rsidR="00BD0628" w:rsidRPr="00FF3E4A" w:rsidRDefault="00D203BD">
            <w:pPr>
              <w:spacing w:after="128" w:line="237" w:lineRule="auto"/>
              <w:ind w:left="212" w:hanging="2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II. Informacja o możliwości zapoznania się w lokalu przedsiębiorstwa przez osobę zainteresowaną zawarciem umowy odpowiednio do zakresu umowy z: </w:t>
            </w:r>
          </w:p>
          <w:p w14:paraId="51735E3C" w14:textId="77777777" w:rsidR="00BD0628" w:rsidRPr="00FF3E4A" w:rsidRDefault="00D203BD">
            <w:pPr>
              <w:numPr>
                <w:ilvl w:val="0"/>
                <w:numId w:val="5"/>
              </w:numPr>
              <w:spacing w:after="87"/>
              <w:ind w:hanging="379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aktualnym stanem księgi wieczystej prowadzonej dla nieruchomości; </w:t>
            </w:r>
          </w:p>
          <w:p w14:paraId="51F2FFBC" w14:textId="77777777" w:rsidR="00BD0628" w:rsidRPr="00FF3E4A" w:rsidRDefault="00D203BD">
            <w:pPr>
              <w:numPr>
                <w:ilvl w:val="0"/>
                <w:numId w:val="5"/>
              </w:numPr>
              <w:spacing w:after="100" w:line="238" w:lineRule="auto"/>
              <w:ind w:hanging="379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aktualnym odpisem, wyciągiem, zaświadczeniem lub wydrukiem komputerowym z Centralnej Informacji Krajowego Rejestru Sądowego, jeżeli podmiot podlega wpisowi do Krajowego Rejestru Sądowego, albo aktualnym zaświadczeniem o wpisie do Centralnej Ewidencji i Informacji o Działalności Gospodarczej; </w:t>
            </w:r>
          </w:p>
          <w:p w14:paraId="7249A443" w14:textId="77777777" w:rsidR="00BD0628" w:rsidRPr="00FF3E4A" w:rsidRDefault="00D203BD">
            <w:pPr>
              <w:numPr>
                <w:ilvl w:val="0"/>
                <w:numId w:val="5"/>
              </w:numPr>
              <w:spacing w:after="125"/>
              <w:ind w:hanging="379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pozwoleniem na budowę albo zgłoszeniem budowy, o którym mowa w art. 29 ust. 1 pkt 1 ustawy z dnia 7 lipca 1994 r. – Prawo budowlane, do którego organ administracji architektoniczno-budowlanej nie wniósł sprzeciwu; </w:t>
            </w:r>
          </w:p>
          <w:p w14:paraId="0E2F9DCC" w14:textId="77777777" w:rsidR="00BD0628" w:rsidRPr="00FF3E4A" w:rsidRDefault="00D203BD">
            <w:pPr>
              <w:numPr>
                <w:ilvl w:val="0"/>
                <w:numId w:val="5"/>
              </w:numPr>
              <w:spacing w:after="66"/>
              <w:ind w:hanging="379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sprawozdaniem finansowym dewelopera za ostatnie dwa lata, a w przypadku: </w:t>
            </w:r>
          </w:p>
          <w:p w14:paraId="53C54D89" w14:textId="77777777" w:rsidR="00BD0628" w:rsidRPr="00FF3E4A" w:rsidRDefault="00D203BD">
            <w:pPr>
              <w:numPr>
                <w:ilvl w:val="1"/>
                <w:numId w:val="5"/>
              </w:numPr>
              <w:spacing w:after="82"/>
              <w:ind w:hanging="341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prowadzenia działalności przez okres krótszy niż dwa lata – sprawozdaniem finansowym za okres ostatniego roku, </w:t>
            </w:r>
          </w:p>
          <w:p w14:paraId="533C63F9" w14:textId="77777777" w:rsidR="00BD0628" w:rsidRPr="00FF3E4A" w:rsidRDefault="00D203BD">
            <w:pPr>
              <w:numPr>
                <w:ilvl w:val="1"/>
                <w:numId w:val="5"/>
              </w:numPr>
              <w:spacing w:after="102"/>
              <w:ind w:hanging="341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realizacji inwestycji przez spółkę celową – sprawozdaniem spółki dominującej oraz spółki celowej; </w:t>
            </w:r>
          </w:p>
          <w:p w14:paraId="4ED4342D" w14:textId="77777777" w:rsidR="00BD0628" w:rsidRPr="00FF3E4A" w:rsidRDefault="00D203BD">
            <w:pPr>
              <w:numPr>
                <w:ilvl w:val="0"/>
                <w:numId w:val="5"/>
              </w:numPr>
              <w:spacing w:after="87"/>
              <w:ind w:hanging="379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projektem budowlanym; </w:t>
            </w:r>
          </w:p>
          <w:p w14:paraId="3DE291B1" w14:textId="77777777" w:rsidR="00BD0628" w:rsidRPr="00FF3E4A" w:rsidRDefault="00D203BD">
            <w:pPr>
              <w:numPr>
                <w:ilvl w:val="0"/>
                <w:numId w:val="5"/>
              </w:numPr>
              <w:spacing w:after="128" w:line="237" w:lineRule="auto"/>
              <w:ind w:hanging="379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decyzją o pozwoleniu na użytkowanie budynku lub zawiadomieniem o zakończeniu budowy, do którego organ nadzoru budowlanego nie wniósł sprzeciwu; </w:t>
            </w:r>
          </w:p>
          <w:p w14:paraId="37FC09FE" w14:textId="77777777" w:rsidR="00BD0628" w:rsidRPr="00FF3E4A" w:rsidRDefault="00D203BD">
            <w:pPr>
              <w:numPr>
                <w:ilvl w:val="0"/>
                <w:numId w:val="5"/>
              </w:numPr>
              <w:spacing w:after="109"/>
              <w:ind w:hanging="379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zaświadczeniem o samodzielności lokalu; </w:t>
            </w:r>
          </w:p>
          <w:p w14:paraId="5B18352E" w14:textId="77777777" w:rsidR="00BD0628" w:rsidRPr="00FF3E4A" w:rsidRDefault="00D203BD">
            <w:pPr>
              <w:numPr>
                <w:ilvl w:val="0"/>
                <w:numId w:val="5"/>
              </w:numPr>
              <w:ind w:hanging="379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aktem ustanowienia odrębnej własności lokalu; </w:t>
            </w:r>
          </w:p>
        </w:tc>
      </w:tr>
      <w:tr w:rsidR="00BD0628" w:rsidRPr="00FF3E4A" w14:paraId="3F18FEAA" w14:textId="77777777">
        <w:tblPrEx>
          <w:tblCellMar>
            <w:top w:w="42" w:type="dxa"/>
            <w:bottom w:w="0" w:type="dxa"/>
          </w:tblCellMar>
        </w:tblPrEx>
        <w:trPr>
          <w:trHeight w:val="4172"/>
        </w:trPr>
        <w:tc>
          <w:tcPr>
            <w:tcW w:w="96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812F97" w14:textId="77777777" w:rsidR="00BD0628" w:rsidRPr="00FF3E4A" w:rsidRDefault="00D203BD">
            <w:pPr>
              <w:tabs>
                <w:tab w:val="center" w:pos="442"/>
                <w:tab w:val="center" w:pos="1998"/>
              </w:tabs>
              <w:spacing w:after="88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ab/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9)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 xml:space="preserve">dokumentem potwierdzającym: </w:t>
            </w:r>
          </w:p>
          <w:p w14:paraId="7D0B9542" w14:textId="3F25D88A" w:rsidR="00BD0628" w:rsidRPr="00FF3E4A" w:rsidRDefault="00D203BD">
            <w:pPr>
              <w:numPr>
                <w:ilvl w:val="0"/>
                <w:numId w:val="6"/>
              </w:numPr>
              <w:spacing w:after="80" w:line="239" w:lineRule="auto"/>
              <w:ind w:right="48" w:hanging="3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zgodę banku</w:t>
            </w:r>
            <w:r w:rsidR="00E64724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, kasy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innego wierzyciela hipotecznego na bez</w:t>
            </w:r>
            <w:r w:rsidR="00DE2C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obciążeniowe ustanowienie odrębnej własności lokalu mieszkalnego i przeniesienie jego własności na nabywcę po wpłacie pełnej ceny przez nabywcę lub zobowiązanie do jej udzielenia, jeżeli takie obciążenie istnieje, albo zgodę banku</w:t>
            </w:r>
            <w:r w:rsidR="00E64724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, kasy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innego wierzyciela hipotecznego na bez</w:t>
            </w:r>
            <w:r w:rsidR="00DE2C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obciążeniowe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 do jej udzielenia, jeżeli takie obciążenie istnieje,  </w:t>
            </w:r>
          </w:p>
          <w:p w14:paraId="406A0A46" w14:textId="1E875A66" w:rsidR="00BD0628" w:rsidRPr="00FF3E4A" w:rsidRDefault="00D203BD">
            <w:pPr>
              <w:numPr>
                <w:ilvl w:val="0"/>
                <w:numId w:val="6"/>
              </w:numPr>
              <w:ind w:right="48" w:hanging="3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umów, o których mowa w art. 2 ust. 2 ustawy z dnia 20 maja 2021 r. o ochronie praw nabywcy lokalu mieszkalnego lub domu jednorodzinnego oraz Deweloperskim Funduszu Gwarancyjnym, zgodę banku</w:t>
            </w:r>
            <w:r w:rsidR="00E64724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, kasy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innego wierzyciela hipotecznego na bez</w:t>
            </w:r>
            <w:r w:rsidR="00DE2C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obciążeniowe przeniesienie własności lokalu użytkowego na nabywcę po wpłacie pełnej ceny przez nabywcę lub zobowiązanie do udzielenia takiej zgody, jeżeli takie obciążenie istnieje, albo zgodę banku</w:t>
            </w:r>
            <w:r w:rsidR="00D55305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, kasy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innego wierzyciela hipotecznego na bez</w:t>
            </w:r>
            <w:r w:rsidR="00DE2C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obciążeniowe przeniesienie na nabywcę ułamkowej części własności lokalu użytkowego po wpłacie pełnej ceny przez nabywcę lub zobowiązanie do udzielenia takiej zgody, jeżeli takie obciążenie istnieje. </w:t>
            </w:r>
          </w:p>
        </w:tc>
      </w:tr>
      <w:tr w:rsidR="00BD0628" w:rsidRPr="00FF3E4A" w14:paraId="03DEEFD5" w14:textId="77777777">
        <w:tblPrEx>
          <w:tblCellMar>
            <w:top w:w="42" w:type="dxa"/>
            <w:bottom w:w="0" w:type="dxa"/>
          </w:tblCellMar>
        </w:tblPrEx>
        <w:trPr>
          <w:trHeight w:val="9840"/>
        </w:trPr>
        <w:tc>
          <w:tcPr>
            <w:tcW w:w="9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CC30D" w14:textId="77777777" w:rsidR="0092528C" w:rsidRPr="00FF3E4A" w:rsidRDefault="0092528C" w:rsidP="0092528C">
            <w:pPr>
              <w:spacing w:after="12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Z w/w dokumentami można zapoznać się w biurze sprzedaży Dewelopera pod adresem:</w:t>
            </w:r>
          </w:p>
          <w:p w14:paraId="3CEE946D" w14:textId="2D0378DB" w:rsidR="00BD0628" w:rsidRPr="00FF3E4A" w:rsidRDefault="0092528C" w:rsidP="0092528C">
            <w:pPr>
              <w:spacing w:after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ul. Fryderyka Chopina 6, 81-752 Sopot</w:t>
            </w:r>
            <w:r w:rsidR="0083179B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="0083179B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="0083179B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="00D203BD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III. Informacja: </w:t>
            </w:r>
          </w:p>
          <w:p w14:paraId="27C0FD2E" w14:textId="6FBA00E0" w:rsidR="00BD0628" w:rsidRPr="00FF3E4A" w:rsidRDefault="00D203BD">
            <w:pPr>
              <w:spacing w:after="145" w:line="239" w:lineRule="auto"/>
              <w:ind w:right="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Środki pieniężne zgromadzone w</w:t>
            </w:r>
            <w:r w:rsidR="00323A23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23A23"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Kaszubskim Banku Spółdzielczym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, prowadzącym otwarty mieszkaniowy rachunek powierniczy, są objęte ochroną obowiązkowego systemu gwarantowania depozytów, na zasadach określonych w ustawie z dnia 10 czerwca 2016 r. o Bankowym Funduszu Gwarancyjnym, systemie gwarantowania depozytów oraz przymusowej restrukturyzacji (</w:t>
            </w:r>
            <w:r w:rsidR="00D55305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Dz. U. z 2022 r. poz. 2253 oraz z 2023 r. poz. 825, 1705, 1784 i 1843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). </w:t>
            </w:r>
          </w:p>
          <w:p w14:paraId="505F2599" w14:textId="77777777" w:rsidR="00BD0628" w:rsidRPr="00FF3E4A" w:rsidRDefault="00D203BD">
            <w:pPr>
              <w:spacing w:after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Informacje podstawowe o obowiązkowym systemie gwarantowania depozytów: </w:t>
            </w:r>
          </w:p>
          <w:p w14:paraId="6D323725" w14:textId="4AB1BBCE" w:rsidR="00BD0628" w:rsidRPr="00FF3E4A" w:rsidRDefault="00D203BD">
            <w:pPr>
              <w:numPr>
                <w:ilvl w:val="0"/>
                <w:numId w:val="7"/>
              </w:numPr>
              <w:spacing w:after="144"/>
              <w:ind w:hanging="3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ochrona środków dotyczy sytuacji spełnienia warunku gwarancji wobec </w:t>
            </w:r>
            <w:r w:rsidR="00323A23"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Kaszubskiego Banku Spółdzielczego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</w:t>
            </w:r>
          </w:p>
          <w:p w14:paraId="3A7A7B1B" w14:textId="77777777" w:rsidR="00BD0628" w:rsidRPr="00FF3E4A" w:rsidRDefault="00D203BD">
            <w:pPr>
              <w:numPr>
                <w:ilvl w:val="0"/>
                <w:numId w:val="7"/>
              </w:numPr>
              <w:spacing w:after="142"/>
              <w:ind w:hanging="3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 przypadku rachunku powierniczego deponentem (uprawnionym do środków gwarantowanych) jest każdy z powierzających, w granicach wynikających z jego udziału w kwocie zgromadzonej na tym rachunku, a w granicach pozostałej kwoty na rachunku prawo do środków gwarantowanych ma powiernik, </w:t>
            </w:r>
          </w:p>
          <w:p w14:paraId="07D18D9C" w14:textId="77777777" w:rsidR="00BD0628" w:rsidRPr="00FF3E4A" w:rsidRDefault="00D203BD">
            <w:pPr>
              <w:numPr>
                <w:ilvl w:val="0"/>
                <w:numId w:val="7"/>
              </w:numPr>
              <w:spacing w:after="144"/>
              <w:ind w:hanging="3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limit gwarancyjny przypadający na jednego deponenta to równowartość w złotych 100 000 euro; w przypadkach określonych w art. 24 ust. 3 i 4 ustawy z dnia 10 czerwca 2016 r. o Bankowym Funduszu Gwarancyjnym, systemie gwarantowania depozytów oraz przymusowej restrukturyzacji, środki deponenta, w terminie 3 miesięcy od dnia ich wpływu na rachunek, objęte są gwarancjami ponad równowartość w złotych 100 000 euro, </w:t>
            </w:r>
          </w:p>
          <w:p w14:paraId="0D324223" w14:textId="77777777" w:rsidR="00BD0628" w:rsidRPr="00FF3E4A" w:rsidRDefault="00D203BD">
            <w:pPr>
              <w:numPr>
                <w:ilvl w:val="0"/>
                <w:numId w:val="7"/>
              </w:numPr>
              <w:spacing w:after="145" w:line="238" w:lineRule="auto"/>
              <w:ind w:hanging="3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podstawą wyliczenia kwoty środków gwarantowanych należnej deponentowi jest suma wszystkich podlegających ochronie należności tego deponenta od banku, w tym należności z tytułu środków zgromadzonych na jego rachunkach osobistych i z tytułu jego udziału w środkach zgromadzonych na rachunku powierniczym, </w:t>
            </w:r>
          </w:p>
          <w:p w14:paraId="5C1FEF7C" w14:textId="77777777" w:rsidR="00BD0628" w:rsidRPr="00FF3E4A" w:rsidRDefault="00D203BD">
            <w:pPr>
              <w:numPr>
                <w:ilvl w:val="0"/>
                <w:numId w:val="7"/>
              </w:numPr>
              <w:spacing w:after="168"/>
              <w:ind w:hanging="3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wypłata środków gwarantowanych – co do zasady – następuje w terminie 7 dni roboczych od dnia spełnienia warunku gwarancji wobec banku, </w:t>
            </w:r>
          </w:p>
          <w:p w14:paraId="50335FC8" w14:textId="77777777" w:rsidR="00BD0628" w:rsidRPr="00FF3E4A" w:rsidRDefault="00D203BD">
            <w:pPr>
              <w:numPr>
                <w:ilvl w:val="0"/>
                <w:numId w:val="7"/>
              </w:numPr>
              <w:spacing w:after="131"/>
              <w:ind w:hanging="3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wypłata środków gwarantowanych jest dokonywana w złotych, </w:t>
            </w:r>
          </w:p>
          <w:p w14:paraId="5DEE5F89" w14:textId="3A126D75" w:rsidR="00BD0628" w:rsidRPr="00FF3E4A" w:rsidRDefault="00323A23">
            <w:pPr>
              <w:numPr>
                <w:ilvl w:val="0"/>
                <w:numId w:val="7"/>
              </w:numPr>
              <w:spacing w:after="146" w:line="237" w:lineRule="auto"/>
              <w:ind w:hanging="3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Kaszubski Bank Spółdzielczy</w:t>
            </w:r>
            <w:r w:rsidR="00805ECA"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203BD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korzysta także z następujących znaków towarowych: </w:t>
            </w:r>
            <w:r w:rsidR="000210CC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210CC" w:rsidRPr="00FF3E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NIE DOTYCZY</w:t>
            </w:r>
          </w:p>
          <w:p w14:paraId="1CD3E97B" w14:textId="77777777" w:rsidR="00BD0628" w:rsidRPr="00FF3E4A" w:rsidRDefault="00D203BD">
            <w:pPr>
              <w:spacing w:after="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Dalsze informacje na temat systemu gwarantowania depozytów można uzyskać na stronie internetowej Bankowego Funduszu Gwarancyjnego: https://www.bfg.pl/. </w:t>
            </w:r>
          </w:p>
          <w:p w14:paraId="08B0DDF1" w14:textId="4DC07182" w:rsidR="00BD0628" w:rsidRPr="00FF3E4A" w:rsidRDefault="00D203BD">
            <w:pPr>
              <w:ind w:left="32" w:right="5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Informacja zamieszczana w przypadku zawarcia umowy mieszkaniowego rachunku powierniczego z oddziałem instytucji kredytowej w rozumieniu art. 4 ust. 1 pkt 18 ustawy z dnia 29 sierpnia 1997 r. – Prawo bankowe (</w:t>
            </w:r>
            <w:r w:rsidR="00D55305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Dz. U.</w:t>
            </w:r>
            <w:r w:rsidR="00D55305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cr/>
              <w:t>z 2022 r. poz. 2324, 2339, 2640 i 2707 oraz z 2023 r. poz. 180, 825, 996, 1059, 1394, 1407, 1723 i 1843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). </w:t>
            </w:r>
          </w:p>
          <w:p w14:paraId="00053E5B" w14:textId="77777777" w:rsidR="00D55305" w:rsidRPr="00FF3E4A" w:rsidRDefault="00D55305">
            <w:pPr>
              <w:ind w:left="32" w:right="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3F1A41" w14:textId="14CD4BCA" w:rsidR="00BD0628" w:rsidRPr="00FF3E4A" w:rsidRDefault="00D203BD">
            <w:pPr>
              <w:ind w:right="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Oddział instytucji kredytowej w rozumieniu art. 4 ust. 1 pkt 18 ustawy z dnia 29 sierpnia 1997 r. – Prawo bankowe jest objęty systemem gwarantowania państwa macierzystego, co oznacza, że nie mają do niego zastosowania przepisy ustawy z dnia 10 czerwca 2016 r. o Bankowym Funduszu Gwarancyjnym, systemie gwarantowania depozytów oraz przymusowej restrukturyzacji. </w:t>
            </w:r>
            <w:r w:rsidR="00B514F5"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Nie dotyczy </w:t>
            </w:r>
          </w:p>
        </w:tc>
      </w:tr>
    </w:tbl>
    <w:p w14:paraId="1AA3650B" w14:textId="1E912762" w:rsidR="00BD0628" w:rsidRPr="004E0327" w:rsidRDefault="00D203BD">
      <w:pPr>
        <w:spacing w:after="0" w:line="265" w:lineRule="auto"/>
        <w:ind w:left="-5" w:hanging="10"/>
        <w:rPr>
          <w:rFonts w:asciiTheme="minorHAnsi" w:hAnsiTheme="minorHAnsi" w:cstheme="minorHAnsi"/>
          <w:color w:val="auto"/>
          <w:sz w:val="20"/>
          <w:szCs w:val="20"/>
        </w:rPr>
      </w:pPr>
      <w:r w:rsidRPr="004E0327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lastRenderedPageBreak/>
        <w:t xml:space="preserve">CZĘŚĆ INDYWIDUALNA </w:t>
      </w:r>
      <w:r w:rsidR="00AF1BF6" w:rsidRPr="004E0327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              </w:t>
      </w:r>
      <w:r w:rsidR="004E0327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Działka 3272/1 </w:t>
      </w:r>
      <w:r w:rsidR="008E7E7D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- </w:t>
      </w:r>
      <w:r w:rsidR="004E0327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lokal 1</w:t>
      </w:r>
      <w:r w:rsidR="008E7E7D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(symbol 1.1)</w:t>
      </w:r>
    </w:p>
    <w:tbl>
      <w:tblPr>
        <w:tblStyle w:val="TableGrid"/>
        <w:tblW w:w="9148" w:type="dxa"/>
        <w:tblInd w:w="-106" w:type="dxa"/>
        <w:tblCellMar>
          <w:top w:w="188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3172"/>
        <w:gridCol w:w="3071"/>
        <w:gridCol w:w="2905"/>
      </w:tblGrid>
      <w:tr w:rsidR="00BD0628" w:rsidRPr="00FF3E4A" w14:paraId="73D8FA34" w14:textId="77777777" w:rsidTr="00C479AD">
        <w:trPr>
          <w:trHeight w:val="75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682659" w14:textId="77777777" w:rsidR="00BD0628" w:rsidRPr="00FF3E4A" w:rsidRDefault="00D203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Cena lokalu mieszkalnego albo domu jednorodzinnego 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E584" w14:textId="3BCE03D2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C0A09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8E7E7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AC0A09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D011BA"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.000 zł </w:t>
            </w:r>
            <w:r w:rsidR="00AB6C73"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</w:tc>
      </w:tr>
      <w:tr w:rsidR="00BD0628" w:rsidRPr="00FF3E4A" w14:paraId="747F05FB" w14:textId="77777777" w:rsidTr="00C479AD">
        <w:trPr>
          <w:trHeight w:val="989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038377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Powierzchnia użytkowa lokalu mieszkalnego albo domu jednorodzinnego 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5FB2" w14:textId="3DE1960E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5225D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255042">
              <w:rPr>
                <w:rFonts w:asciiTheme="minorHAnsi" w:hAnsiTheme="minorHAnsi" w:cstheme="minorHAnsi"/>
                <w:b/>
                <w:sz w:val="20"/>
                <w:szCs w:val="20"/>
              </w:rPr>
              <w:t>2,53</w:t>
            </w:r>
            <w:r w:rsidR="00D011BA"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m2 </w:t>
            </w:r>
          </w:p>
        </w:tc>
      </w:tr>
      <w:tr w:rsidR="00BD0628" w:rsidRPr="00FF3E4A" w14:paraId="22685976" w14:textId="77777777" w:rsidTr="00C479AD">
        <w:trPr>
          <w:trHeight w:val="98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15519D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Cena m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>2</w:t>
            </w: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powierzchni użytkowej lokalu mieszkalnego albo domu jednorodzinnego 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CF5F" w14:textId="6FD128C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477C6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="00255042">
              <w:rPr>
                <w:rFonts w:asciiTheme="minorHAnsi" w:hAnsiTheme="minorHAnsi" w:cstheme="minorHAnsi"/>
                <w:b/>
                <w:sz w:val="20"/>
                <w:szCs w:val="20"/>
              </w:rPr>
              <w:t>.256,51</w:t>
            </w:r>
            <w:r w:rsidR="00DE208D"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zł </w:t>
            </w:r>
            <w:r w:rsidR="00AB6C73"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</w:tc>
      </w:tr>
      <w:tr w:rsidR="00BD0628" w:rsidRPr="00FF3E4A" w14:paraId="74DDA2F2" w14:textId="77777777" w:rsidTr="00C479AD">
        <w:trPr>
          <w:trHeight w:val="3058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3CD7B7" w14:textId="77777777" w:rsidR="00BD0628" w:rsidRPr="00FF3E4A" w:rsidRDefault="00D203BD">
            <w:pPr>
              <w:ind w:righ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Termin, do którego nastąpi przeniesienie prawa własności nieruchomości wynikającego z umowy deweloperskiej lub jednej z umów, o których mowa w art. 2 ust. 1 pkt 2, </w:t>
            </w:r>
          </w:p>
          <w:p w14:paraId="712C44C5" w14:textId="77777777" w:rsidR="00BD0628" w:rsidRPr="00FF3E4A" w:rsidRDefault="00D203BD">
            <w:pPr>
              <w:spacing w:after="1" w:line="239" w:lineRule="auto"/>
              <w:ind w:right="37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 lub 5 lub ust. 2 ustawy z dnia 20 maja 2021 r. o ochronie praw nabywcy lokalu mieszkalnego lub domu jednorodzinnego oraz </w:t>
            </w:r>
          </w:p>
          <w:p w14:paraId="4A5729BC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Deweloperskim Funduszu </w:t>
            </w:r>
          </w:p>
          <w:p w14:paraId="0CE8E7FE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Gwarancyjnym  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B4D1" w14:textId="2C952CB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E46AB"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30 </w:t>
            </w:r>
            <w:r w:rsidR="005477C6">
              <w:rPr>
                <w:rFonts w:asciiTheme="minorHAnsi" w:hAnsiTheme="minorHAnsi" w:cstheme="minorHAnsi"/>
                <w:b/>
                <w:sz w:val="20"/>
                <w:szCs w:val="20"/>
              </w:rPr>
              <w:t>maja</w:t>
            </w:r>
            <w:r w:rsidR="006E46AB"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5477C6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6E46AB"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D0628" w:rsidRPr="00FF3E4A" w14:paraId="206778DF" w14:textId="77777777" w:rsidTr="00C479AD">
        <w:trPr>
          <w:trHeight w:val="542"/>
        </w:trPr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2F2F2"/>
            <w:vAlign w:val="center"/>
          </w:tcPr>
          <w:p w14:paraId="75C102C4" w14:textId="77777777" w:rsidR="00BD0628" w:rsidRPr="00FF3E4A" w:rsidRDefault="00D203BD">
            <w:pPr>
              <w:spacing w:line="239" w:lineRule="auto"/>
              <w:ind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Określenie położenia oraz istotnych cech domu jednorodzinnego albo budynku, w którym ma znajdować się lokal mieszkalny będący przedmiotem umowy rezerwacyjnej albo umowy deweloperskiej lub jednej z umów, o których mowa w art. 2 ust. 1 pkt 2, 3 lub 5 lub ust. 2 ustawy z dnia 20 maja 2021 r. o ochronie praw nabywcy lokalu mieszkalnego lub domu jednorodzinnego oraz </w:t>
            </w:r>
          </w:p>
          <w:p w14:paraId="089405EE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Deweloperskim Funduszu </w:t>
            </w:r>
          </w:p>
          <w:p w14:paraId="31B41E27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Gwarancyjnym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9BD4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Liczba kondygnacji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EFCE" w14:textId="4DBA22B9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E46AB"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</w:tr>
      <w:tr w:rsidR="00BD0628" w:rsidRPr="00FF3E4A" w14:paraId="427CC852" w14:textId="77777777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4BDFB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1E27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Technologia wykonania 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7B15" w14:textId="3A296348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0450A" w:rsidRPr="00FF3E4A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tradycyjna, murowana</w:t>
            </w:r>
          </w:p>
        </w:tc>
      </w:tr>
      <w:tr w:rsidR="00BD0628" w:rsidRPr="00FF3E4A" w14:paraId="4C1344F8" w14:textId="77777777">
        <w:trPr>
          <w:trHeight w:val="2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</w:tcPr>
          <w:p w14:paraId="481DB6A6" w14:textId="77777777" w:rsidR="00BD0628" w:rsidRPr="00FF3E4A" w:rsidRDefault="00BD06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D55F" w14:textId="77777777" w:rsidR="00BD0628" w:rsidRPr="00FF3E4A" w:rsidRDefault="00D203BD">
            <w:pPr>
              <w:ind w:left="4" w:righ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Standard prac wykończeniowych w części wspólnej budynku i terenie wokół niego, stanowiącym część wspólną nieruchomości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6045" w14:textId="35998D60" w:rsidR="004832A4" w:rsidRPr="00FF3E4A" w:rsidRDefault="004832A4" w:rsidP="004832A4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 xml:space="preserve">docieplenie budynku styropianem, dach kryty </w:t>
            </w:r>
            <w:r w:rsidR="00ED174D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blachą układaną na rąbek</w:t>
            </w:r>
            <w:r w:rsidRPr="00FF3E4A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 xml:space="preserve">, </w:t>
            </w:r>
            <w:r w:rsidR="00ED174D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FF3E4A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 xml:space="preserve"> miej</w:t>
            </w:r>
            <w:r w:rsidR="00ED174D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sca</w:t>
            </w:r>
            <w:r w:rsidRPr="00FF3E4A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 xml:space="preserve"> parkingowe przed </w:t>
            </w:r>
            <w:r w:rsidR="00BE59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każdym lokalem</w:t>
            </w:r>
            <w:r w:rsidRPr="00FF3E4A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, ciągi piesze z kostki betonowej</w:t>
            </w:r>
          </w:p>
          <w:p w14:paraId="69AA79E5" w14:textId="55EE09A3" w:rsidR="00BD0628" w:rsidRPr="00FF3E4A" w:rsidRDefault="00BD062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628" w:rsidRPr="00FF3E4A" w14:paraId="76936E24" w14:textId="77777777" w:rsidTr="00C479AD">
        <w:trPr>
          <w:trHeight w:val="542"/>
        </w:trPr>
        <w:tc>
          <w:tcPr>
            <w:tcW w:w="3172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2F2F2"/>
            <w:vAlign w:val="center"/>
          </w:tcPr>
          <w:p w14:paraId="1A49C4D3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8741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Liczba lokali w budynku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8FB8" w14:textId="438F1578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E5949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</w:tr>
      <w:tr w:rsidR="00BD0628" w:rsidRPr="00FF3E4A" w14:paraId="5D0D9DAD" w14:textId="77777777" w:rsidTr="00C479AD">
        <w:trPr>
          <w:trHeight w:val="759"/>
        </w:trPr>
        <w:tc>
          <w:tcPr>
            <w:tcW w:w="3172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2F2F2"/>
          </w:tcPr>
          <w:p w14:paraId="10F5554A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B540" w14:textId="2E9D7B6A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Liczba miejsc postojowych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2906" w14:textId="1DCDB63D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E5949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</w:tr>
      <w:tr w:rsidR="00BD0628" w:rsidRPr="00FF3E4A" w14:paraId="276D7891" w14:textId="77777777" w:rsidTr="00C479AD">
        <w:trPr>
          <w:trHeight w:val="542"/>
        </w:trPr>
        <w:tc>
          <w:tcPr>
            <w:tcW w:w="3172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2F2F2"/>
            <w:vAlign w:val="center"/>
          </w:tcPr>
          <w:p w14:paraId="6E66CF29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4583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Dostępne media w budynku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A8E7" w14:textId="7B885539" w:rsidR="00BD0628" w:rsidRPr="00FF3E4A" w:rsidRDefault="00D203B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32A4"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>Woda, prąd</w:t>
            </w:r>
            <w:r w:rsidR="004A4FD7">
              <w:rPr>
                <w:rFonts w:asciiTheme="minorHAnsi" w:hAnsiTheme="minorHAnsi" w:cstheme="minorHAnsi"/>
                <w:b/>
                <w:sz w:val="20"/>
                <w:szCs w:val="20"/>
              </w:rPr>
              <w:t>, gaz</w:t>
            </w:r>
          </w:p>
        </w:tc>
      </w:tr>
      <w:tr w:rsidR="00BD0628" w:rsidRPr="00FF3E4A" w14:paraId="6C0FE6A8" w14:textId="77777777" w:rsidTr="00C479AD">
        <w:trPr>
          <w:trHeight w:val="542"/>
        </w:trPr>
        <w:tc>
          <w:tcPr>
            <w:tcW w:w="3172" w:type="dxa"/>
            <w:tcBorders>
              <w:top w:val="single" w:sz="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B71391" w14:textId="77777777" w:rsidR="00BD0628" w:rsidRPr="00FF3E4A" w:rsidRDefault="00D203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60B0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Dostęp do drogi publicznej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36EC" w14:textId="7299AC39" w:rsidR="00BD0628" w:rsidRPr="00FF3E4A" w:rsidRDefault="00621C09" w:rsidP="00621C09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4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Zapewniony poprzez </w:t>
            </w:r>
            <w:r w:rsidR="00B068C2" w:rsidRPr="000414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dostęp do drogi 178 KD-L</w:t>
            </w:r>
            <w:r w:rsidR="00041432" w:rsidRPr="000414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½ ul Kapitana Mamerta Stankiewicza</w:t>
            </w:r>
          </w:p>
        </w:tc>
      </w:tr>
      <w:tr w:rsidR="00BD0628" w:rsidRPr="00FF3E4A" w14:paraId="2D7D6D72" w14:textId="77777777" w:rsidTr="00C479AD">
        <w:trPr>
          <w:trHeight w:val="863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109C97" w14:textId="77777777" w:rsidR="00BD0628" w:rsidRPr="00FF3E4A" w:rsidRDefault="00D203BD">
            <w:pPr>
              <w:ind w:right="213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Określenie usytuowania lokalu mieszkalnego w budynku, jeżeli przedsięwzięcie deweloperskie lub zadanie inwestycyjne dotyczy lokali mieszkalnych 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D541383" w14:textId="77777777" w:rsidR="00BD0628" w:rsidRPr="00FF3E4A" w:rsidRDefault="00D203BD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479AD" w:rsidRPr="00FF3E4A" w14:paraId="28A621FB" w14:textId="77777777" w:rsidTr="00C479AD">
        <w:tblPrEx>
          <w:tblCellMar>
            <w:top w:w="0" w:type="dxa"/>
            <w:right w:w="74" w:type="dxa"/>
          </w:tblCellMar>
        </w:tblPrEx>
        <w:trPr>
          <w:trHeight w:val="1553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66C156" w14:textId="77777777" w:rsidR="00C479AD" w:rsidRPr="00FF3E4A" w:rsidRDefault="00C479AD" w:rsidP="005532BB">
            <w:pPr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Określenie powierzchni użytkowej i układu pomieszczeń oraz zakresu i standardu prac wykończeniowych, do których wykonania zobowiązuje </w:t>
            </w:r>
          </w:p>
          <w:p w14:paraId="1F13D8F6" w14:textId="777777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się deweloper </w:t>
            </w:r>
          </w:p>
        </w:tc>
        <w:tc>
          <w:tcPr>
            <w:tcW w:w="5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0B3D" w14:textId="1C8AA60C" w:rsidR="00C479AD" w:rsidRPr="00FF3E4A" w:rsidRDefault="005F0591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255042">
              <w:rPr>
                <w:rFonts w:asciiTheme="minorHAnsi" w:hAnsiTheme="minorHAnsi" w:cstheme="minorHAnsi"/>
                <w:sz w:val="20"/>
                <w:szCs w:val="20"/>
              </w:rPr>
              <w:t>2,53</w:t>
            </w:r>
            <w:r w:rsidR="00C479AD"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 m2 </w:t>
            </w:r>
          </w:p>
          <w:p w14:paraId="0CF71401" w14:textId="09DA26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>Parter: wiatrołap, łazienka, kuchnia, salon,</w:t>
            </w:r>
          </w:p>
          <w:p w14:paraId="7DC732F7" w14:textId="70F9B53E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>Piętro: ko</w:t>
            </w:r>
            <w:r w:rsidR="00AD7238">
              <w:rPr>
                <w:rFonts w:asciiTheme="minorHAnsi" w:hAnsiTheme="minorHAnsi" w:cstheme="minorHAnsi"/>
                <w:sz w:val="20"/>
                <w:szCs w:val="20"/>
              </w:rPr>
              <w:t xml:space="preserve">rytarz, pokój 1, pokój 2, </w:t>
            </w:r>
            <w:r w:rsidR="001E1A14">
              <w:rPr>
                <w:rFonts w:asciiTheme="minorHAnsi" w:hAnsiTheme="minorHAnsi" w:cstheme="minorHAnsi"/>
                <w:sz w:val="20"/>
                <w:szCs w:val="20"/>
              </w:rPr>
              <w:t>gabinet, łazienka</w:t>
            </w:r>
          </w:p>
          <w:p w14:paraId="5DFB2E4E" w14:textId="777777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>Rozkład zgodnie z załącznikiem nr 1.</w:t>
            </w:r>
          </w:p>
          <w:p w14:paraId="082C5ADA" w14:textId="777777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Wykończenie do stanu deweloperskiego. </w:t>
            </w:r>
          </w:p>
        </w:tc>
      </w:tr>
      <w:tr w:rsidR="00C479AD" w:rsidRPr="00FF3E4A" w14:paraId="26124DCD" w14:textId="77777777" w:rsidTr="00C479AD">
        <w:tblPrEx>
          <w:tblCellMar>
            <w:top w:w="0" w:type="dxa"/>
            <w:right w:w="74" w:type="dxa"/>
          </w:tblCellMar>
        </w:tblPrEx>
        <w:trPr>
          <w:trHeight w:val="671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726A49" w14:textId="77777777" w:rsidR="00C479AD" w:rsidRPr="00FF3E4A" w:rsidRDefault="00C479AD" w:rsidP="005532BB">
            <w:pPr>
              <w:ind w:right="536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>Data wydania zaświadczenia o samodzielności lokalu mieszkalnego</w:t>
            </w:r>
          </w:p>
        </w:tc>
        <w:tc>
          <w:tcPr>
            <w:tcW w:w="5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2CAA" w14:textId="777777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Nie dotyczy </w:t>
            </w:r>
          </w:p>
        </w:tc>
      </w:tr>
      <w:tr w:rsidR="00C479AD" w:rsidRPr="00FF3E4A" w14:paraId="5AABCCB9" w14:textId="77777777" w:rsidTr="00C479AD">
        <w:tblPrEx>
          <w:tblCellMar>
            <w:top w:w="0" w:type="dxa"/>
            <w:right w:w="74" w:type="dxa"/>
          </w:tblCellMar>
        </w:tblPrEx>
        <w:trPr>
          <w:trHeight w:val="758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3F755C" w14:textId="777777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Data ustanowienia odrębnej własności lokalu mieszkalnego </w:t>
            </w:r>
          </w:p>
        </w:tc>
        <w:tc>
          <w:tcPr>
            <w:tcW w:w="5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13A0" w14:textId="777777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Nie dotyczy </w:t>
            </w:r>
          </w:p>
        </w:tc>
      </w:tr>
      <w:tr w:rsidR="00C479AD" w:rsidRPr="00FF3E4A" w14:paraId="00D41A7C" w14:textId="77777777" w:rsidTr="00C479AD">
        <w:tblPrEx>
          <w:tblCellMar>
            <w:top w:w="0" w:type="dxa"/>
            <w:right w:w="74" w:type="dxa"/>
          </w:tblCellMar>
        </w:tblPrEx>
        <w:trPr>
          <w:trHeight w:val="1018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D9A8C1" w14:textId="77777777" w:rsidR="00C479AD" w:rsidRPr="00FF3E4A" w:rsidRDefault="00C479AD" w:rsidP="005532BB">
            <w:pPr>
              <w:ind w:right="52"/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Informacje o lokalu użytkowym nabywanym równocześnie z lokalem mieszkalnym albo domem jednorodzinnym </w:t>
            </w:r>
          </w:p>
        </w:tc>
        <w:tc>
          <w:tcPr>
            <w:tcW w:w="5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BBE5" w14:textId="777777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Nie dotyczy </w:t>
            </w:r>
          </w:p>
        </w:tc>
      </w:tr>
      <w:tr w:rsidR="00C479AD" w:rsidRPr="00FF3E4A" w14:paraId="52739FA8" w14:textId="77777777" w:rsidTr="00C479AD">
        <w:tblPrEx>
          <w:tblCellMar>
            <w:top w:w="0" w:type="dxa"/>
            <w:right w:w="74" w:type="dxa"/>
          </w:tblCellMar>
        </w:tblPrEx>
        <w:trPr>
          <w:trHeight w:val="692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08B5CD" w14:textId="777777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Cenę lokalu użytkowego albo ułamkowej części własności lokalu </w:t>
            </w:r>
          </w:p>
          <w:p w14:paraId="3D336080" w14:textId="777777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użytkowego  </w:t>
            </w:r>
          </w:p>
        </w:tc>
        <w:tc>
          <w:tcPr>
            <w:tcW w:w="5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EA6F" w14:textId="777777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Nie dotyczy </w:t>
            </w:r>
          </w:p>
        </w:tc>
      </w:tr>
      <w:tr w:rsidR="00C479AD" w:rsidRPr="00FF3E4A" w14:paraId="406A60D7" w14:textId="77777777" w:rsidTr="00C479AD">
        <w:tblPrEx>
          <w:tblCellMar>
            <w:top w:w="0" w:type="dxa"/>
            <w:right w:w="74" w:type="dxa"/>
          </w:tblCellMar>
        </w:tblPrEx>
        <w:trPr>
          <w:trHeight w:val="1026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C0C946" w14:textId="777777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Termin, do którego nastąpi przeniesienie prawa własności lokalu użytkowego albo ułamkowej części własności lokalu użytkowego </w:t>
            </w:r>
          </w:p>
        </w:tc>
        <w:tc>
          <w:tcPr>
            <w:tcW w:w="5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42B8" w14:textId="77777777" w:rsidR="00C479AD" w:rsidRPr="00FF3E4A" w:rsidRDefault="00C479AD" w:rsidP="00553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E4A">
              <w:rPr>
                <w:rFonts w:asciiTheme="minorHAnsi" w:hAnsiTheme="minorHAnsi" w:cstheme="minorHAnsi"/>
                <w:sz w:val="20"/>
                <w:szCs w:val="20"/>
              </w:rPr>
              <w:t xml:space="preserve">Nie dotyczy </w:t>
            </w:r>
          </w:p>
        </w:tc>
      </w:tr>
    </w:tbl>
    <w:p w14:paraId="4C11E355" w14:textId="77777777" w:rsidR="00C479AD" w:rsidRPr="00FF3E4A" w:rsidRDefault="00C479AD" w:rsidP="00C479AD">
      <w:pPr>
        <w:spacing w:after="495" w:line="265" w:lineRule="auto"/>
        <w:ind w:left="10" w:right="-7" w:hanging="10"/>
        <w:jc w:val="right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Podpis dewelopera albo osoby upoważnionej do reprezentacji dewelopera </w:t>
      </w:r>
    </w:p>
    <w:p w14:paraId="654B1BCD" w14:textId="77777777" w:rsidR="00C479AD" w:rsidRPr="00FF3E4A" w:rsidRDefault="00C479AD" w:rsidP="00C479AD">
      <w:pPr>
        <w:spacing w:after="653" w:line="265" w:lineRule="auto"/>
        <w:ind w:left="10" w:right="-7" w:hanging="10"/>
        <w:jc w:val="right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…...…………………………………. </w:t>
      </w:r>
    </w:p>
    <w:p w14:paraId="0D768535" w14:textId="77777777" w:rsidR="00C479AD" w:rsidRPr="00FF3E4A" w:rsidRDefault="00C479AD" w:rsidP="00C479AD">
      <w:pPr>
        <w:spacing w:after="409"/>
        <w:ind w:left="-48" w:right="-91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5D7131E" wp14:editId="67054701">
                <wp:extent cx="6355297" cy="24073"/>
                <wp:effectExtent l="0" t="0" r="0" b="0"/>
                <wp:docPr id="1" name="Group 23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297" cy="24073"/>
                          <a:chOff x="0" y="0"/>
                          <a:chExt cx="6355297" cy="24073"/>
                        </a:xfrm>
                      </wpg:grpSpPr>
                      <wps:wsp>
                        <wps:cNvPr id="2" name="Shape 3437"/>
                        <wps:cNvSpPr/>
                        <wps:spPr>
                          <a:xfrm>
                            <a:off x="0" y="0"/>
                            <a:ext cx="6355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297">
                                <a:moveTo>
                                  <a:pt x="0" y="0"/>
                                </a:moveTo>
                                <a:lnTo>
                                  <a:pt x="6355297" y="0"/>
                                </a:lnTo>
                              </a:path>
                            </a:pathLst>
                          </a:custGeom>
                          <a:ln w="2407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69083" id="Group 23354" o:spid="_x0000_s1026" style="width:500.4pt;height:1.9pt;mso-position-horizontal-relative:char;mso-position-vertical-relative:line" coordsize="6355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">
                <v:shape id="Shape 3437" o:spid="_x0000_s1027" style="position:absolute;width:63552;height:0;visibility:visible;mso-wrap-style:square;v-text-anchor:top" coordsize="6355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" path="m,l6355297,e" filled="f" strokeweight=".66869mm">
                  <v:path arrowok="t" textboxrect="0,0,6355297,0"/>
                </v:shape>
                <w10:anchorlock/>
              </v:group>
            </w:pict>
          </mc:Fallback>
        </mc:AlternateContent>
      </w:r>
    </w:p>
    <w:p w14:paraId="16E0EDCA" w14:textId="77777777" w:rsidR="00C479AD" w:rsidRPr="00FF3E4A" w:rsidRDefault="00C479AD" w:rsidP="00C479AD">
      <w:pPr>
        <w:spacing w:after="115" w:line="265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b/>
          <w:sz w:val="20"/>
          <w:szCs w:val="20"/>
        </w:rPr>
        <w:t xml:space="preserve">Załączniki: </w:t>
      </w:r>
    </w:p>
    <w:p w14:paraId="4E0F2650" w14:textId="77777777" w:rsidR="00C479AD" w:rsidRPr="00FF3E4A" w:rsidRDefault="00C479AD" w:rsidP="00C479AD">
      <w:pPr>
        <w:numPr>
          <w:ilvl w:val="0"/>
          <w:numId w:val="3"/>
        </w:numPr>
        <w:spacing w:after="157" w:line="251" w:lineRule="auto"/>
        <w:ind w:hanging="276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>Rzut kondygnacji budynku z zaznaczeniem  rozkładu pomieszczeń (parter + piętro)</w:t>
      </w:r>
    </w:p>
    <w:p w14:paraId="363DB34A" w14:textId="77777777" w:rsidR="00C479AD" w:rsidRPr="00FF3E4A" w:rsidRDefault="00C479AD" w:rsidP="00C479AD">
      <w:pPr>
        <w:numPr>
          <w:ilvl w:val="0"/>
          <w:numId w:val="3"/>
        </w:numPr>
        <w:spacing w:after="157" w:line="251" w:lineRule="auto"/>
        <w:ind w:hanging="276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>Wzór umowy deweloperskiej lub umowy, o której mowa w art. 2 ust. 1 pkt 2, 3 lub 5 ustawy z dnia 20 maja 2021 r. o ochronie praw nabywcy lokalu mieszkalnego lub domu jednorodzinnego oraz Deweloperskim Funduszu Gwarancyjnym.</w:t>
      </w:r>
    </w:p>
    <w:p w14:paraId="7813EAC2" w14:textId="77777777" w:rsidR="00C479AD" w:rsidRPr="00FF3E4A" w:rsidRDefault="00C479AD" w:rsidP="00C479AD">
      <w:pPr>
        <w:numPr>
          <w:ilvl w:val="0"/>
          <w:numId w:val="3"/>
        </w:numPr>
        <w:spacing w:after="41" w:line="251" w:lineRule="auto"/>
        <w:ind w:hanging="276"/>
        <w:jc w:val="both"/>
        <w:rPr>
          <w:rFonts w:asciiTheme="minorHAnsi" w:hAnsiTheme="minorHAnsi" w:cstheme="minorHAnsi"/>
          <w:sz w:val="20"/>
          <w:szCs w:val="20"/>
        </w:rPr>
      </w:pPr>
      <w:r w:rsidRPr="00FF3E4A">
        <w:rPr>
          <w:rFonts w:asciiTheme="minorHAnsi" w:eastAsia="Times New Roman" w:hAnsiTheme="minorHAnsi" w:cstheme="minorHAnsi"/>
          <w:sz w:val="20"/>
          <w:szCs w:val="20"/>
        </w:rPr>
        <w:t>Szkic koncepcji zagospodarowania terenu inwestycji i jego otoczenia z zaznaczeniem budynku oraz istotnych uwarunkowań lokalizacji inwestycji wynikających z istniejącego stanu użytkowania terenów sąsiednich (np. z funkcji terenu, stref ochronnych, uciążliwości).</w:t>
      </w:r>
    </w:p>
    <w:p w14:paraId="0772D92C" w14:textId="63973C9E" w:rsidR="00AB69BE" w:rsidRPr="00AB69BE" w:rsidRDefault="00C479AD" w:rsidP="003F2017">
      <w:pPr>
        <w:spacing w:after="0"/>
        <w:ind w:left="-22" w:right="-65"/>
        <w:rPr>
          <w:rFonts w:asciiTheme="minorHAnsi" w:hAnsiTheme="minorHAnsi" w:cstheme="minorHAnsi"/>
          <w:sz w:val="20"/>
          <w:szCs w:val="20"/>
        </w:rPr>
        <w:sectPr w:rsidR="00AB69BE" w:rsidRPr="00AB69BE" w:rsidSect="00DB554D">
          <w:headerReference w:type="even" r:id="rId8"/>
          <w:headerReference w:type="default" r:id="rId9"/>
          <w:headerReference w:type="first" r:id="rId10"/>
          <w:pgSz w:w="11906" w:h="16838"/>
          <w:pgMar w:top="567" w:right="1133" w:bottom="993" w:left="1020" w:header="535" w:footer="708" w:gutter="0"/>
          <w:pgNumType w:start="30"/>
          <w:cols w:space="708"/>
        </w:sectPr>
      </w:pPr>
      <w:r w:rsidRPr="00FF3E4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5081DAC9" wp14:editId="20B340AA">
                <wp:extent cx="6322722" cy="23950"/>
                <wp:effectExtent l="0" t="0" r="0" b="0"/>
                <wp:docPr id="3" name="Group 23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2722" cy="23950"/>
                          <a:chOff x="0" y="0"/>
                          <a:chExt cx="6322722" cy="23950"/>
                        </a:xfrm>
                      </wpg:grpSpPr>
                      <wps:wsp>
                        <wps:cNvPr id="4" name="Shape 3438"/>
                        <wps:cNvSpPr/>
                        <wps:spPr>
                          <a:xfrm>
                            <a:off x="0" y="0"/>
                            <a:ext cx="6322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2722">
                                <a:moveTo>
                                  <a:pt x="0" y="0"/>
                                </a:moveTo>
                                <a:lnTo>
                                  <a:pt x="6322722" y="0"/>
                                </a:lnTo>
                              </a:path>
                            </a:pathLst>
                          </a:custGeom>
                          <a:ln w="239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1D203" id="Group 23356" o:spid="_x0000_s1026" style="width:497.85pt;height:1.9pt;mso-position-horizontal-relative:char;mso-position-vertical-relative:line" coordsize="63227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">
                <v:shape id="Shape 3438" o:spid="_x0000_s1027" style="position:absolute;width:63227;height:0;visibility:visible;mso-wrap-style:square;v-text-anchor:top" coordsize="6322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" path="m,l6322722,e" filled="f" strokeweight=".66528mm">
                  <v:path arrowok="t" textboxrect="0,0,6322722,0"/>
                </v:shape>
                <w10:anchorlock/>
              </v:group>
            </w:pict>
          </mc:Fallback>
        </mc:AlternateContent>
      </w:r>
    </w:p>
    <w:p w14:paraId="5C02258E" w14:textId="3F9D6B8E" w:rsidR="00BD0628" w:rsidRPr="00FF3E4A" w:rsidRDefault="00BD0628">
      <w:pPr>
        <w:pStyle w:val="Nagwek2"/>
        <w:tabs>
          <w:tab w:val="right" w:pos="9869"/>
        </w:tabs>
        <w:rPr>
          <w:rFonts w:asciiTheme="minorHAnsi" w:hAnsiTheme="minorHAnsi" w:cstheme="minorHAnsi"/>
          <w:szCs w:val="20"/>
        </w:rPr>
      </w:pPr>
    </w:p>
    <w:sectPr w:rsidR="00BD0628" w:rsidRPr="00FF3E4A">
      <w:headerReference w:type="even" r:id="rId11"/>
      <w:headerReference w:type="default" r:id="rId12"/>
      <w:headerReference w:type="first" r:id="rId13"/>
      <w:pgSz w:w="11906" w:h="16838"/>
      <w:pgMar w:top="1440" w:right="1017" w:bottom="1440" w:left="1020" w:header="97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3DE8" w14:textId="77777777" w:rsidR="00F33852" w:rsidRDefault="00F33852">
      <w:pPr>
        <w:spacing w:after="0" w:line="240" w:lineRule="auto"/>
      </w:pPr>
      <w:r>
        <w:separator/>
      </w:r>
    </w:p>
  </w:endnote>
  <w:endnote w:type="continuationSeparator" w:id="0">
    <w:p w14:paraId="21C42DB4" w14:textId="77777777" w:rsidR="00F33852" w:rsidRDefault="00F3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2A0D" w14:textId="77777777" w:rsidR="00F33852" w:rsidRDefault="00F33852">
      <w:pPr>
        <w:tabs>
          <w:tab w:val="center" w:pos="2876"/>
        </w:tabs>
        <w:spacing w:after="62"/>
      </w:pPr>
      <w:r>
        <w:separator/>
      </w:r>
    </w:p>
  </w:footnote>
  <w:footnote w:type="continuationSeparator" w:id="0">
    <w:p w14:paraId="6A1C6A56" w14:textId="77777777" w:rsidR="00F33852" w:rsidRDefault="00F33852">
      <w:pPr>
        <w:tabs>
          <w:tab w:val="center" w:pos="2876"/>
        </w:tabs>
        <w:spacing w:after="62"/>
      </w:pPr>
      <w:r>
        <w:continuationSeparator/>
      </w:r>
    </w:p>
  </w:footnote>
  <w:footnote w:id="1">
    <w:p w14:paraId="733D3C0A" w14:textId="77777777" w:rsidR="00D63FFC" w:rsidRDefault="00D63FFC">
      <w:pPr>
        <w:pStyle w:val="footnotedescription"/>
        <w:tabs>
          <w:tab w:val="center" w:pos="2876"/>
        </w:tabs>
        <w:spacing w:after="62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</w:t>
      </w:r>
      <w:r>
        <w:tab/>
        <w:t xml:space="preserve">Jeżeli działka nie posiada adresu, należy opisowo określić jej położenie. </w:t>
      </w:r>
    </w:p>
  </w:footnote>
  <w:footnote w:id="2">
    <w:p w14:paraId="0F354279" w14:textId="77777777" w:rsidR="00D63FFC" w:rsidRDefault="00D63FFC">
      <w:pPr>
        <w:pStyle w:val="footnotedescription"/>
        <w:tabs>
          <w:tab w:val="right" w:pos="9866"/>
        </w:tabs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</w:t>
      </w:r>
      <w:r>
        <w:tab/>
        <w:t xml:space="preserve">W szczególności imię i nazwisko albo firma właściciela lub użytkownika wieczystego oraz istniejące obciążenia na nieruchomości. </w:t>
      </w:r>
    </w:p>
  </w:footnote>
  <w:footnote w:id="3">
    <w:p w14:paraId="0943D2BC" w14:textId="77777777" w:rsidR="00D63FFC" w:rsidRDefault="00D63FFC">
      <w:pPr>
        <w:pStyle w:val="footnotedescription"/>
        <w:tabs>
          <w:tab w:val="center" w:pos="4426"/>
        </w:tabs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</w:t>
      </w:r>
      <w:r>
        <w:tab/>
        <w:t xml:space="preserve">W przypadku braku miejscowego planu zagospodarowania przestrzennego umieszcza się informację „Brak planu”. </w:t>
      </w:r>
    </w:p>
  </w:footnote>
  <w:footnote w:id="4">
    <w:p w14:paraId="09F8214F" w14:textId="77777777" w:rsidR="00D63FFC" w:rsidRDefault="00D63FFC">
      <w:pPr>
        <w:pStyle w:val="footnotedescription"/>
        <w:spacing w:line="326" w:lineRule="auto"/>
        <w:ind w:left="281" w:hanging="281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Wskazane inwestycje dotyczą w szczególności: budowy lub rozbudowy dróg, budowy linii szynowych oraz przewidzianych korytarzy powietrznych, inwestycji komunalnych, takich jak: oczyszczalnie ścieków, spalarnie śmieci, wysypiska, cmentarze. </w:t>
      </w:r>
    </w:p>
  </w:footnote>
  <w:footnote w:id="5">
    <w:p w14:paraId="0F229138" w14:textId="77777777" w:rsidR="00D63FFC" w:rsidRDefault="00D63FFC">
      <w:pPr>
        <w:pStyle w:val="footnotedescription"/>
        <w:jc w:val="left"/>
      </w:pPr>
      <w:r>
        <w:rPr>
          <w:rStyle w:val="footnotemark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DEEF" w14:textId="77777777" w:rsidR="00D63FFC" w:rsidRDefault="00D63FFC">
    <w:pPr>
      <w:spacing w:after="106"/>
    </w:pPr>
    <w:r>
      <w:rPr>
        <w:rFonts w:ascii="Times New Roman" w:eastAsia="Times New Roman" w:hAnsi="Times New Roman" w:cs="Times New Roman"/>
        <w:sz w:val="24"/>
      </w:rPr>
      <w:t xml:space="preserve">     </w:t>
    </w:r>
  </w:p>
  <w:p w14:paraId="494D4A4B" w14:textId="77777777" w:rsidR="00D63FFC" w:rsidRDefault="00D63FFC">
    <w:pPr>
      <w:tabs>
        <w:tab w:val="center" w:pos="4965"/>
        <w:tab w:val="right" w:pos="9866"/>
      </w:tabs>
      <w:spacing w:after="39"/>
      <w:ind w:right="-3"/>
    </w:pPr>
    <w:r>
      <w:rPr>
        <w:rFonts w:ascii="Times New Roman" w:eastAsia="Times New Roman" w:hAnsi="Times New Roman" w:cs="Times New Roman"/>
        <w:sz w:val="20"/>
        <w:u w:val="single" w:color="000000"/>
      </w:rPr>
      <w:t xml:space="preserve">Dziennik Ustaw </w:t>
    </w:r>
    <w:r>
      <w:rPr>
        <w:rFonts w:ascii="Times New Roman" w:eastAsia="Times New Roman" w:hAnsi="Times New Roman" w:cs="Times New Roman"/>
        <w:sz w:val="20"/>
        <w:u w:val="single" w:color="000000"/>
      </w:rPr>
      <w:tab/>
    </w:r>
    <w:r>
      <w:rPr>
        <w:rFonts w:ascii="Times New Roman" w:eastAsia="Times New Roman" w:hAnsi="Times New Roman" w:cs="Times New Roman"/>
        <w:sz w:val="20"/>
      </w:rPr>
      <w:t>–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  <w:u w:val="single" w:color="000000"/>
      </w:rPr>
      <w:t>30</w:t>
    </w:r>
    <w:r>
      <w:rPr>
        <w:rFonts w:ascii="Times New Roman" w:eastAsia="Times New Roman" w:hAnsi="Times New Roman" w:cs="Times New Roman"/>
        <w:sz w:val="20"/>
        <w:u w:val="single" w:color="000000"/>
      </w:rPr>
      <w:fldChar w:fldCharType="end"/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rPr>
        <w:rFonts w:ascii="Times New Roman" w:eastAsia="Times New Roman" w:hAnsi="Times New Roman" w:cs="Times New Roman"/>
        <w:sz w:val="20"/>
      </w:rPr>
      <w:t>–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rPr>
        <w:rFonts w:ascii="Times New Roman" w:eastAsia="Times New Roman" w:hAnsi="Times New Roman" w:cs="Times New Roman"/>
        <w:sz w:val="20"/>
        <w:u w:val="single" w:color="000000"/>
      </w:rPr>
      <w:tab/>
      <w:t xml:space="preserve">Poz. 1177 </w:t>
    </w:r>
  </w:p>
  <w:p w14:paraId="3528066C" w14:textId="77777777" w:rsidR="00D63FFC" w:rsidRDefault="00D63FFC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FDB0" w14:textId="77777777" w:rsidR="00D63FFC" w:rsidRDefault="00D63FFC">
    <w:pPr>
      <w:spacing w:after="106"/>
    </w:pPr>
    <w:r>
      <w:rPr>
        <w:rFonts w:ascii="Times New Roman" w:eastAsia="Times New Roman" w:hAnsi="Times New Roman" w:cs="Times New Roman"/>
        <w:sz w:val="24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D6E3" w14:textId="77777777" w:rsidR="00D63FFC" w:rsidRDefault="00D63FFC">
    <w:pPr>
      <w:spacing w:after="106"/>
    </w:pPr>
    <w:r>
      <w:rPr>
        <w:rFonts w:ascii="Times New Roman" w:eastAsia="Times New Roman" w:hAnsi="Times New Roman" w:cs="Times New Roman"/>
        <w:sz w:val="24"/>
      </w:rPr>
      <w:t xml:space="preserve">     </w:t>
    </w:r>
  </w:p>
  <w:p w14:paraId="4DFBA286" w14:textId="77777777" w:rsidR="00D63FFC" w:rsidRDefault="00D63FFC">
    <w:pPr>
      <w:tabs>
        <w:tab w:val="center" w:pos="4965"/>
        <w:tab w:val="right" w:pos="9866"/>
      </w:tabs>
      <w:spacing w:after="39"/>
      <w:ind w:right="-3"/>
    </w:pPr>
    <w:r>
      <w:rPr>
        <w:rFonts w:ascii="Times New Roman" w:eastAsia="Times New Roman" w:hAnsi="Times New Roman" w:cs="Times New Roman"/>
        <w:sz w:val="20"/>
        <w:u w:val="single" w:color="000000"/>
      </w:rPr>
      <w:t xml:space="preserve">Dziennik Ustaw </w:t>
    </w:r>
    <w:r>
      <w:rPr>
        <w:rFonts w:ascii="Times New Roman" w:eastAsia="Times New Roman" w:hAnsi="Times New Roman" w:cs="Times New Roman"/>
        <w:sz w:val="20"/>
        <w:u w:val="single" w:color="000000"/>
      </w:rPr>
      <w:tab/>
    </w:r>
    <w:r>
      <w:rPr>
        <w:rFonts w:ascii="Times New Roman" w:eastAsia="Times New Roman" w:hAnsi="Times New Roman" w:cs="Times New Roman"/>
        <w:sz w:val="20"/>
      </w:rPr>
      <w:t>–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  <w:u w:val="single" w:color="000000"/>
      </w:rPr>
      <w:t>30</w:t>
    </w:r>
    <w:r>
      <w:rPr>
        <w:rFonts w:ascii="Times New Roman" w:eastAsia="Times New Roman" w:hAnsi="Times New Roman" w:cs="Times New Roman"/>
        <w:sz w:val="20"/>
        <w:u w:val="single" w:color="000000"/>
      </w:rPr>
      <w:fldChar w:fldCharType="end"/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rPr>
        <w:rFonts w:ascii="Times New Roman" w:eastAsia="Times New Roman" w:hAnsi="Times New Roman" w:cs="Times New Roman"/>
        <w:sz w:val="20"/>
      </w:rPr>
      <w:t>–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rPr>
        <w:rFonts w:ascii="Times New Roman" w:eastAsia="Times New Roman" w:hAnsi="Times New Roman" w:cs="Times New Roman"/>
        <w:sz w:val="20"/>
        <w:u w:val="single" w:color="000000"/>
      </w:rPr>
      <w:tab/>
      <w:t xml:space="preserve">Poz. 1177 </w:t>
    </w:r>
  </w:p>
  <w:p w14:paraId="4996C346" w14:textId="77777777" w:rsidR="00D63FFC" w:rsidRDefault="00D63FFC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39F3" w14:textId="77777777" w:rsidR="00D63FFC" w:rsidRDefault="00D63FFC">
    <w:pPr>
      <w:spacing w:after="0"/>
      <w:ind w:left="60"/>
      <w:jc w:val="center"/>
    </w:pPr>
    <w:r>
      <w:rPr>
        <w:rFonts w:ascii="Times New Roman" w:eastAsia="Times New Roman" w:hAnsi="Times New Roman" w:cs="Times New Roman"/>
        <w:sz w:val="20"/>
      </w:rP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40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–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A299" w14:textId="2316DEE1" w:rsidR="00D63FFC" w:rsidRDefault="00D63FFC" w:rsidP="00AB69BE">
    <w:pPr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F634" w14:textId="77777777" w:rsidR="00D63FFC" w:rsidRDefault="00D63FFC">
    <w:pPr>
      <w:spacing w:after="0"/>
      <w:ind w:left="60"/>
      <w:jc w:val="center"/>
    </w:pPr>
    <w:r>
      <w:rPr>
        <w:rFonts w:ascii="Times New Roman" w:eastAsia="Times New Roman" w:hAnsi="Times New Roman" w:cs="Times New Roman"/>
        <w:sz w:val="20"/>
      </w:rP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40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13A"/>
    <w:multiLevelType w:val="hybridMultilevel"/>
    <w:tmpl w:val="368AD640"/>
    <w:lvl w:ilvl="0" w:tplc="CEFE8E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3399"/>
    <w:multiLevelType w:val="hybridMultilevel"/>
    <w:tmpl w:val="17C0A914"/>
    <w:lvl w:ilvl="0" w:tplc="FF70F7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8647F"/>
    <w:multiLevelType w:val="hybridMultilevel"/>
    <w:tmpl w:val="46F45EF4"/>
    <w:lvl w:ilvl="0" w:tplc="2C4A82F2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BEB8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66A9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D2E8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1C32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385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CE2A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6C54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1EA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B5484"/>
    <w:multiLevelType w:val="hybridMultilevel"/>
    <w:tmpl w:val="30FC87B0"/>
    <w:lvl w:ilvl="0" w:tplc="D500098E">
      <w:start w:val="1"/>
      <w:numFmt w:val="decimal"/>
      <w:lvlText w:val="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48C6DC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5C6EF2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EC7C92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129E98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62EDF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1CE140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36AD9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56E18E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EA7AFB"/>
    <w:multiLevelType w:val="hybridMultilevel"/>
    <w:tmpl w:val="A5FC3E94"/>
    <w:lvl w:ilvl="0" w:tplc="206AE05A">
      <w:start w:val="1"/>
      <w:numFmt w:val="bullet"/>
      <w:lvlText w:val="–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03056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6C6C3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BCA2A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2247D2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4E239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42024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64FF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AC493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5A313F"/>
    <w:multiLevelType w:val="hybridMultilevel"/>
    <w:tmpl w:val="F92A465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C5134F"/>
    <w:multiLevelType w:val="hybridMultilevel"/>
    <w:tmpl w:val="E9E0D546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7" w15:restartNumberingAfterBreak="0">
    <w:nsid w:val="353A28CF"/>
    <w:multiLevelType w:val="hybridMultilevel"/>
    <w:tmpl w:val="FB8A76C2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41D5569"/>
    <w:multiLevelType w:val="hybridMultilevel"/>
    <w:tmpl w:val="A81473C2"/>
    <w:lvl w:ilvl="0" w:tplc="65783358">
      <w:start w:val="1"/>
      <w:numFmt w:val="decimal"/>
      <w:lvlText w:val="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65E10">
      <w:start w:val="1"/>
      <w:numFmt w:val="lowerLetter"/>
      <w:lvlText w:val="%2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ECADCC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8C583E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F0D68A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CACA40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7EEA2C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06EF14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2B3CE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326E5F"/>
    <w:multiLevelType w:val="hybridMultilevel"/>
    <w:tmpl w:val="0D62B63E"/>
    <w:lvl w:ilvl="0" w:tplc="F7006068">
      <w:start w:val="1"/>
      <w:numFmt w:val="upperRoman"/>
      <w:lvlText w:val="%1."/>
      <w:lvlJc w:val="left"/>
      <w:pPr>
        <w:ind w:left="1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265B4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2A1B62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CE5784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70B2E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407ED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54B88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F8873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56EF0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B8227F"/>
    <w:multiLevelType w:val="hybridMultilevel"/>
    <w:tmpl w:val="48AC760E"/>
    <w:lvl w:ilvl="0" w:tplc="5B9ABA0E">
      <w:start w:val="3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1DFA6A96">
      <w:start w:val="1"/>
      <w:numFmt w:val="decimal"/>
      <w:lvlText w:val="%2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F2A818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0A9CCA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6002BE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F42D88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CA523C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D235D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5E4380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404FE8"/>
    <w:multiLevelType w:val="hybridMultilevel"/>
    <w:tmpl w:val="B7C8F0C4"/>
    <w:lvl w:ilvl="0" w:tplc="152EFE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21D82"/>
    <w:multiLevelType w:val="hybridMultilevel"/>
    <w:tmpl w:val="687A81D2"/>
    <w:lvl w:ilvl="0" w:tplc="B852C9C8">
      <w:start w:val="1"/>
      <w:numFmt w:val="lowerLetter"/>
      <w:lvlText w:val="%1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A0E5E2">
      <w:start w:val="1"/>
      <w:numFmt w:val="lowerLetter"/>
      <w:lvlText w:val="%2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406AFA">
      <w:start w:val="1"/>
      <w:numFmt w:val="lowerRoman"/>
      <w:lvlText w:val="%3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A0542">
      <w:start w:val="1"/>
      <w:numFmt w:val="decimal"/>
      <w:lvlText w:val="%4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943600">
      <w:start w:val="1"/>
      <w:numFmt w:val="lowerLetter"/>
      <w:lvlText w:val="%5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30260A">
      <w:start w:val="1"/>
      <w:numFmt w:val="lowerRoman"/>
      <w:lvlText w:val="%6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61DB6">
      <w:start w:val="1"/>
      <w:numFmt w:val="decimal"/>
      <w:lvlText w:val="%7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7B7E">
      <w:start w:val="1"/>
      <w:numFmt w:val="lowerLetter"/>
      <w:lvlText w:val="%8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72D872">
      <w:start w:val="1"/>
      <w:numFmt w:val="lowerRoman"/>
      <w:lvlText w:val="%9"/>
      <w:lvlJc w:val="left"/>
      <w:pPr>
        <w:ind w:left="6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1964597">
    <w:abstractNumId w:val="9"/>
  </w:num>
  <w:num w:numId="2" w16cid:durableId="321205791">
    <w:abstractNumId w:val="10"/>
  </w:num>
  <w:num w:numId="3" w16cid:durableId="996423920">
    <w:abstractNumId w:val="2"/>
  </w:num>
  <w:num w:numId="4" w16cid:durableId="2145852017">
    <w:abstractNumId w:val="3"/>
  </w:num>
  <w:num w:numId="5" w16cid:durableId="368915360">
    <w:abstractNumId w:val="8"/>
  </w:num>
  <w:num w:numId="6" w16cid:durableId="207186742">
    <w:abstractNumId w:val="12"/>
  </w:num>
  <w:num w:numId="7" w16cid:durableId="1487012619">
    <w:abstractNumId w:val="4"/>
  </w:num>
  <w:num w:numId="8" w16cid:durableId="684213859">
    <w:abstractNumId w:val="5"/>
  </w:num>
  <w:num w:numId="9" w16cid:durableId="1530801713">
    <w:abstractNumId w:val="7"/>
  </w:num>
  <w:num w:numId="10" w16cid:durableId="1949317212">
    <w:abstractNumId w:val="0"/>
  </w:num>
  <w:num w:numId="11" w16cid:durableId="991904387">
    <w:abstractNumId w:val="11"/>
  </w:num>
  <w:num w:numId="12" w16cid:durableId="1489709684">
    <w:abstractNumId w:val="1"/>
  </w:num>
  <w:num w:numId="13" w16cid:durableId="35586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28"/>
    <w:rsid w:val="000024F8"/>
    <w:rsid w:val="0001207A"/>
    <w:rsid w:val="00013144"/>
    <w:rsid w:val="000210CC"/>
    <w:rsid w:val="00030478"/>
    <w:rsid w:val="0004028E"/>
    <w:rsid w:val="00040C7C"/>
    <w:rsid w:val="00041432"/>
    <w:rsid w:val="00057933"/>
    <w:rsid w:val="00075A48"/>
    <w:rsid w:val="000A5555"/>
    <w:rsid w:val="000A6197"/>
    <w:rsid w:val="000B01E7"/>
    <w:rsid w:val="000E0EF3"/>
    <w:rsid w:val="000F70D9"/>
    <w:rsid w:val="00124556"/>
    <w:rsid w:val="001554EA"/>
    <w:rsid w:val="00156882"/>
    <w:rsid w:val="00156916"/>
    <w:rsid w:val="00173862"/>
    <w:rsid w:val="0017521B"/>
    <w:rsid w:val="001909AF"/>
    <w:rsid w:val="00194F00"/>
    <w:rsid w:val="00196F4D"/>
    <w:rsid w:val="0019756F"/>
    <w:rsid w:val="001A3FF8"/>
    <w:rsid w:val="001B1E03"/>
    <w:rsid w:val="001B6178"/>
    <w:rsid w:val="001C605F"/>
    <w:rsid w:val="001E1A14"/>
    <w:rsid w:val="001E3B6D"/>
    <w:rsid w:val="001F0772"/>
    <w:rsid w:val="001F1DF0"/>
    <w:rsid w:val="001F232F"/>
    <w:rsid w:val="002079AB"/>
    <w:rsid w:val="00210750"/>
    <w:rsid w:val="00232B78"/>
    <w:rsid w:val="00251312"/>
    <w:rsid w:val="002514F4"/>
    <w:rsid w:val="00255042"/>
    <w:rsid w:val="0026247B"/>
    <w:rsid w:val="0028152A"/>
    <w:rsid w:val="00282A66"/>
    <w:rsid w:val="00286F4D"/>
    <w:rsid w:val="00287022"/>
    <w:rsid w:val="002A6B22"/>
    <w:rsid w:val="002B4A87"/>
    <w:rsid w:val="002B5CDC"/>
    <w:rsid w:val="002C4FD1"/>
    <w:rsid w:val="002F02A2"/>
    <w:rsid w:val="00307AD7"/>
    <w:rsid w:val="00314A32"/>
    <w:rsid w:val="00316972"/>
    <w:rsid w:val="003171EC"/>
    <w:rsid w:val="00322A61"/>
    <w:rsid w:val="00323A23"/>
    <w:rsid w:val="00332D15"/>
    <w:rsid w:val="00334374"/>
    <w:rsid w:val="00340836"/>
    <w:rsid w:val="003419B5"/>
    <w:rsid w:val="00344E73"/>
    <w:rsid w:val="00355FE8"/>
    <w:rsid w:val="00366087"/>
    <w:rsid w:val="003665AE"/>
    <w:rsid w:val="00392C1F"/>
    <w:rsid w:val="003A15D9"/>
    <w:rsid w:val="003A6986"/>
    <w:rsid w:val="003A69BC"/>
    <w:rsid w:val="003C30CE"/>
    <w:rsid w:val="003C49BE"/>
    <w:rsid w:val="003D17B2"/>
    <w:rsid w:val="003D1C79"/>
    <w:rsid w:val="003D31C3"/>
    <w:rsid w:val="003E0DD8"/>
    <w:rsid w:val="003F2017"/>
    <w:rsid w:val="003F6122"/>
    <w:rsid w:val="0040450A"/>
    <w:rsid w:val="00420962"/>
    <w:rsid w:val="00420F55"/>
    <w:rsid w:val="00422209"/>
    <w:rsid w:val="0042765F"/>
    <w:rsid w:val="00445137"/>
    <w:rsid w:val="0045279A"/>
    <w:rsid w:val="0047380C"/>
    <w:rsid w:val="004832A4"/>
    <w:rsid w:val="00486AD3"/>
    <w:rsid w:val="004873E4"/>
    <w:rsid w:val="00492B78"/>
    <w:rsid w:val="00496358"/>
    <w:rsid w:val="004A4FD7"/>
    <w:rsid w:val="004A5CA4"/>
    <w:rsid w:val="004E0327"/>
    <w:rsid w:val="004E3B2B"/>
    <w:rsid w:val="004F2552"/>
    <w:rsid w:val="004F7F69"/>
    <w:rsid w:val="00503CCC"/>
    <w:rsid w:val="00524E02"/>
    <w:rsid w:val="00525703"/>
    <w:rsid w:val="0053790B"/>
    <w:rsid w:val="005477C6"/>
    <w:rsid w:val="005758F1"/>
    <w:rsid w:val="00582091"/>
    <w:rsid w:val="00582AB5"/>
    <w:rsid w:val="00596447"/>
    <w:rsid w:val="005A0DCA"/>
    <w:rsid w:val="005B1C58"/>
    <w:rsid w:val="005B5947"/>
    <w:rsid w:val="005C3E45"/>
    <w:rsid w:val="005D5128"/>
    <w:rsid w:val="005D5198"/>
    <w:rsid w:val="005D731A"/>
    <w:rsid w:val="005E25E0"/>
    <w:rsid w:val="005F0591"/>
    <w:rsid w:val="005F5376"/>
    <w:rsid w:val="00605E2B"/>
    <w:rsid w:val="00620930"/>
    <w:rsid w:val="00621C09"/>
    <w:rsid w:val="006540CB"/>
    <w:rsid w:val="0066674A"/>
    <w:rsid w:val="00671610"/>
    <w:rsid w:val="00675001"/>
    <w:rsid w:val="006767A4"/>
    <w:rsid w:val="006A627E"/>
    <w:rsid w:val="006B738F"/>
    <w:rsid w:val="006C1ABE"/>
    <w:rsid w:val="006C2768"/>
    <w:rsid w:val="006E46AB"/>
    <w:rsid w:val="006F1EC9"/>
    <w:rsid w:val="006F3A42"/>
    <w:rsid w:val="0071375E"/>
    <w:rsid w:val="0072004A"/>
    <w:rsid w:val="007211B4"/>
    <w:rsid w:val="00724D3B"/>
    <w:rsid w:val="0073554F"/>
    <w:rsid w:val="007507FE"/>
    <w:rsid w:val="0075225D"/>
    <w:rsid w:val="0075782B"/>
    <w:rsid w:val="007B1790"/>
    <w:rsid w:val="007B3808"/>
    <w:rsid w:val="007B478A"/>
    <w:rsid w:val="007C01D4"/>
    <w:rsid w:val="007C5F0E"/>
    <w:rsid w:val="007C64AC"/>
    <w:rsid w:val="007C7C8B"/>
    <w:rsid w:val="007E5969"/>
    <w:rsid w:val="007F552C"/>
    <w:rsid w:val="00805ECA"/>
    <w:rsid w:val="008068A4"/>
    <w:rsid w:val="008119DA"/>
    <w:rsid w:val="0083179B"/>
    <w:rsid w:val="0085195C"/>
    <w:rsid w:val="00851C32"/>
    <w:rsid w:val="008579F7"/>
    <w:rsid w:val="008602FF"/>
    <w:rsid w:val="008820FB"/>
    <w:rsid w:val="00884AEE"/>
    <w:rsid w:val="00893156"/>
    <w:rsid w:val="008A3E6A"/>
    <w:rsid w:val="008B66CD"/>
    <w:rsid w:val="008D3BCB"/>
    <w:rsid w:val="008E6DFB"/>
    <w:rsid w:val="008E7E7D"/>
    <w:rsid w:val="008F54E1"/>
    <w:rsid w:val="0090598D"/>
    <w:rsid w:val="00921B9E"/>
    <w:rsid w:val="0092528C"/>
    <w:rsid w:val="00932B17"/>
    <w:rsid w:val="00940681"/>
    <w:rsid w:val="00967CE0"/>
    <w:rsid w:val="009706DB"/>
    <w:rsid w:val="009750E3"/>
    <w:rsid w:val="0098216D"/>
    <w:rsid w:val="0099360C"/>
    <w:rsid w:val="00996AA5"/>
    <w:rsid w:val="009A0407"/>
    <w:rsid w:val="009D3B82"/>
    <w:rsid w:val="009D5AB6"/>
    <w:rsid w:val="009E3493"/>
    <w:rsid w:val="009F076F"/>
    <w:rsid w:val="009F1A53"/>
    <w:rsid w:val="009F5E58"/>
    <w:rsid w:val="00A04F88"/>
    <w:rsid w:val="00A10CEA"/>
    <w:rsid w:val="00A447C2"/>
    <w:rsid w:val="00A5472F"/>
    <w:rsid w:val="00A6183D"/>
    <w:rsid w:val="00A84BCA"/>
    <w:rsid w:val="00A92889"/>
    <w:rsid w:val="00AA0EF8"/>
    <w:rsid w:val="00AB69BE"/>
    <w:rsid w:val="00AB6C73"/>
    <w:rsid w:val="00AC0A09"/>
    <w:rsid w:val="00AC2C89"/>
    <w:rsid w:val="00AC746B"/>
    <w:rsid w:val="00AD7238"/>
    <w:rsid w:val="00AE10C5"/>
    <w:rsid w:val="00AE6DE9"/>
    <w:rsid w:val="00AF1BF6"/>
    <w:rsid w:val="00B068C2"/>
    <w:rsid w:val="00B23214"/>
    <w:rsid w:val="00B25130"/>
    <w:rsid w:val="00B3103F"/>
    <w:rsid w:val="00B50469"/>
    <w:rsid w:val="00B50E77"/>
    <w:rsid w:val="00B514F5"/>
    <w:rsid w:val="00B622F5"/>
    <w:rsid w:val="00B650A1"/>
    <w:rsid w:val="00B65690"/>
    <w:rsid w:val="00B7317C"/>
    <w:rsid w:val="00B733AA"/>
    <w:rsid w:val="00B83AC6"/>
    <w:rsid w:val="00B83CE0"/>
    <w:rsid w:val="00B91EF4"/>
    <w:rsid w:val="00B9308E"/>
    <w:rsid w:val="00BA4399"/>
    <w:rsid w:val="00BA4ECC"/>
    <w:rsid w:val="00BA6592"/>
    <w:rsid w:val="00BB292F"/>
    <w:rsid w:val="00BB6916"/>
    <w:rsid w:val="00BC04A0"/>
    <w:rsid w:val="00BC682B"/>
    <w:rsid w:val="00BD0628"/>
    <w:rsid w:val="00BD33A0"/>
    <w:rsid w:val="00BD6344"/>
    <w:rsid w:val="00BD66EB"/>
    <w:rsid w:val="00BE5949"/>
    <w:rsid w:val="00BE6E6E"/>
    <w:rsid w:val="00BF4F11"/>
    <w:rsid w:val="00C02F48"/>
    <w:rsid w:val="00C06C24"/>
    <w:rsid w:val="00C10963"/>
    <w:rsid w:val="00C22803"/>
    <w:rsid w:val="00C45B38"/>
    <w:rsid w:val="00C479AD"/>
    <w:rsid w:val="00C52FBD"/>
    <w:rsid w:val="00C647CA"/>
    <w:rsid w:val="00C65E13"/>
    <w:rsid w:val="00C70A40"/>
    <w:rsid w:val="00C838D5"/>
    <w:rsid w:val="00CA033E"/>
    <w:rsid w:val="00CB11B9"/>
    <w:rsid w:val="00CB48E7"/>
    <w:rsid w:val="00CB6538"/>
    <w:rsid w:val="00CD501D"/>
    <w:rsid w:val="00CD6394"/>
    <w:rsid w:val="00D011BA"/>
    <w:rsid w:val="00D03238"/>
    <w:rsid w:val="00D203BD"/>
    <w:rsid w:val="00D25C95"/>
    <w:rsid w:val="00D40DAD"/>
    <w:rsid w:val="00D52033"/>
    <w:rsid w:val="00D52D03"/>
    <w:rsid w:val="00D55305"/>
    <w:rsid w:val="00D63FFC"/>
    <w:rsid w:val="00D7106A"/>
    <w:rsid w:val="00D76F81"/>
    <w:rsid w:val="00D91CE9"/>
    <w:rsid w:val="00DA2D0D"/>
    <w:rsid w:val="00DA47F2"/>
    <w:rsid w:val="00DB554D"/>
    <w:rsid w:val="00DE208D"/>
    <w:rsid w:val="00DE2CD7"/>
    <w:rsid w:val="00E10147"/>
    <w:rsid w:val="00E11547"/>
    <w:rsid w:val="00E13711"/>
    <w:rsid w:val="00E20A27"/>
    <w:rsid w:val="00E26CC5"/>
    <w:rsid w:val="00E350F7"/>
    <w:rsid w:val="00E377E2"/>
    <w:rsid w:val="00E477AE"/>
    <w:rsid w:val="00E64724"/>
    <w:rsid w:val="00E718B9"/>
    <w:rsid w:val="00E727FB"/>
    <w:rsid w:val="00E87D3E"/>
    <w:rsid w:val="00E916A3"/>
    <w:rsid w:val="00EA174F"/>
    <w:rsid w:val="00EC297E"/>
    <w:rsid w:val="00ED174D"/>
    <w:rsid w:val="00EE1890"/>
    <w:rsid w:val="00F2345D"/>
    <w:rsid w:val="00F33852"/>
    <w:rsid w:val="00F52BDC"/>
    <w:rsid w:val="00F65A9E"/>
    <w:rsid w:val="00F66071"/>
    <w:rsid w:val="00F71224"/>
    <w:rsid w:val="00F73AEA"/>
    <w:rsid w:val="00F960BE"/>
    <w:rsid w:val="00FA7FA9"/>
    <w:rsid w:val="00FE28EB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02A6"/>
  <w15:docId w15:val="{0A03A492-3AB3-40E6-A451-95F4DB5F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B7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38F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6B73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738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1ABE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32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32A4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32A4"/>
    <w:rPr>
      <w:vertAlign w:val="superscript"/>
    </w:rPr>
  </w:style>
  <w:style w:type="paragraph" w:styleId="Poprawka">
    <w:name w:val="Revision"/>
    <w:hidden/>
    <w:uiPriority w:val="99"/>
    <w:semiHidden/>
    <w:rsid w:val="0015691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F1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F1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BC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53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879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0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744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3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98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22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35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46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63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19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07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24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12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46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07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87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06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22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CC06-0338-43D8-8254-713C025B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5837</Words>
  <Characters>35026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40782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(C) Wydawnictwo C.H. Beck</dc:creator>
  <cp:keywords/>
  <cp:lastModifiedBy>Adam Szewczyk</cp:lastModifiedBy>
  <cp:revision>154</cp:revision>
  <cp:lastPrinted>2023-11-22T11:02:00Z</cp:lastPrinted>
  <dcterms:created xsi:type="dcterms:W3CDTF">2023-11-20T11:08:00Z</dcterms:created>
  <dcterms:modified xsi:type="dcterms:W3CDTF">2025-10-01T08:35:00Z</dcterms:modified>
</cp:coreProperties>
</file>